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right"/>
        <w:spacing w:after="0" w:line="240" w:lineRule="auto"/>
        <w:widowControl w:val="off"/>
        <w:tabs>
          <w:tab w:val="left" w:pos="3686" w:leader="none"/>
        </w:tabs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Приложение № 7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pStyle w:val="759"/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к Единым стандартам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pStyle w:val="759"/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качества обслуживания сетевыми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pStyle w:val="759"/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организациями потребителей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pStyle w:val="759"/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услуг сетевых организаций, утвержденным 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pStyle w:val="759"/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приказом Минэнерго России от 15.04.2014 г. № 186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pStyle w:val="759"/>
        <w:jc w:val="right"/>
        <w:spacing w:after="0" w:line="240" w:lineRule="auto"/>
        <w:widowControl w:val="off"/>
        <w:rPr>
          <w:rFonts w:eastAsia="Times New Roman" w:cs="Calibri"/>
          <w:sz w:val="20"/>
          <w:szCs w:val="20"/>
          <w:lang w:eastAsia="ru-RU"/>
        </w:rPr>
      </w:pPr>
      <w:r>
        <w:rPr>
          <w:rFonts w:eastAsia="Times New Roman" w:cs="Calibri"/>
          <w:sz w:val="20"/>
          <w:szCs w:val="20"/>
          <w:lang w:eastAsia="ru-RU"/>
        </w:rPr>
      </w:r>
      <w:r>
        <w:rPr>
          <w:rFonts w:eastAsia="Times New Roman" w:cs="Calibri"/>
          <w:sz w:val="20"/>
          <w:szCs w:val="20"/>
          <w:lang w:eastAsia="ru-RU"/>
        </w:rPr>
      </w:r>
      <w:r>
        <w:rPr>
          <w:rFonts w:eastAsia="Times New Roman" w:cs="Calibri"/>
          <w:sz w:val="20"/>
          <w:szCs w:val="20"/>
          <w:lang w:eastAsia="ru-RU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  <w:t xml:space="preserve">Информация о качестве обслуживания потребителей услуг</w:t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  <w:t xml:space="preserve">филиала ПАО «Россети Юг» – «Волгоградэнерго» </w:t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pStyle w:val="759"/>
        <w:jc w:val="center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  <w:t xml:space="preserve">за 202</w:t>
      </w:r>
      <w:r>
        <w:rPr>
          <w:rFonts w:ascii="Times New Roman" w:hAnsi="Times New Roman"/>
          <w:b/>
          <w:color w:val="365f91"/>
          <w:sz w:val="28"/>
        </w:rPr>
        <w:t xml:space="preserve">4</w:t>
      </w:r>
      <w:r>
        <w:rPr>
          <w:rFonts w:ascii="Times New Roman" w:hAnsi="Times New Roman"/>
          <w:b/>
          <w:color w:val="365f91"/>
          <w:sz w:val="28"/>
        </w:rPr>
        <w:t xml:space="preserve"> год.</w:t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br w:type="page" w:clear="all"/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0"/>
          <w:numId w:val="1"/>
        </w:numPr>
        <w:jc w:val="both"/>
        <w:spacing w:after="0"/>
        <w:rPr>
          <w:rFonts w:ascii="Times New Roman" w:hAnsi="Times New Roman"/>
          <w:b/>
          <w:color w:val="365f91"/>
          <w:sz w:val="28"/>
        </w:rPr>
      </w:pPr>
      <w:r>
        <w:rPr>
          <w:rFonts w:ascii="Times New Roman" w:hAnsi="Times New Roman"/>
          <w:b/>
          <w:color w:val="365f91"/>
          <w:sz w:val="28"/>
        </w:rPr>
        <w:t xml:space="preserve">Общая информация о сетевой организации</w:t>
      </w:r>
      <w:r>
        <w:rPr>
          <w:rFonts w:ascii="Times New Roman" w:hAnsi="Times New Roman"/>
          <w:b/>
          <w:color w:val="365f91"/>
          <w:sz w:val="28"/>
        </w:rPr>
      </w:r>
      <w:r>
        <w:rPr>
          <w:rFonts w:ascii="Times New Roman" w:hAnsi="Times New Roman"/>
          <w:b/>
          <w:color w:val="365f91"/>
          <w:sz w:val="28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Количество потребителей услуг сетевой организации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contextualSpacing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2024 году было осуществлено 2 224 технологических присоединений заявителей: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9"/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1-й категории надежности – 0 шт.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9"/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2-й категории надежности – 42 шт.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9"/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3-й категории надежности – 2 182 шт.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9"/>
        <w:contextualSpacing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0064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77"/>
        <w:gridCol w:w="3118"/>
        <w:gridCol w:w="39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Уровень напряжения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присоединений                         в 2023 году, шт.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присоединений                         в 2024 году, шт.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0,4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2 204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6-10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20- 35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tabs>
                <w:tab w:val="left" w:pos="20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tabs>
                <w:tab w:val="left" w:pos="20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110 – 220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759"/>
        <w:contextualSpacing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0064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77"/>
        <w:gridCol w:w="3118"/>
        <w:gridCol w:w="39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/>
        </w:trPr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Тип потребителей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присоединений                            в 2023 году, шт.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присоединений                            в 2024 году, шт.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Физические лица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1 397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1408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Юридические лица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118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816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938"/>
        <w:ind w:left="1080"/>
        <w:jc w:val="both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Количество точек поставки всего и точек поставки, оборудованных приборами учета электрической энергии, с разбивкой: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0064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00" w:firstRow="0" w:lastRow="0" w:firstColumn="0" w:lastColumn="0" w:noHBand="0" w:noVBand="1"/>
      </w:tblPr>
      <w:tblGrid>
        <w:gridCol w:w="4111"/>
        <w:gridCol w:w="1999"/>
        <w:gridCol w:w="3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Потребители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999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точек поставки 2023 г. (шт.)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954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точек поставки 2024 г. (шт.)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245907</w:t>
            </w:r>
            <w:r>
              <w:rPr>
                <w:rFonts w:ascii="Times New Roman" w:hAnsi="Times New Roman"/>
                <w:color w:val="000000"/>
                <w:lang w:eastAsia="ru-RU"/>
              </w:rPr>
            </w:r>
            <w:r>
              <w:rPr>
                <w:rFonts w:ascii="Times New Roman" w:hAnsi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270608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Оснащено приборами учета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240599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267491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86296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63354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Юридические лица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38896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33224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Оснащено приборами учета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36122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32636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7425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8509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Ввода в многоквартирные дома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4153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2496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Оснащено приборами учета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3857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2144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1261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338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Физические лица (частные домовладения)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202781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234888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Оснащено приборами учета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200620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232711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tcW w:w="411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999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77610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3954" w:type="dxa"/>
            <w:vAlign w:val="top"/>
            <w:textDirection w:val="lrTb"/>
            <w:noWrap w:val="false"/>
          </w:tcPr>
          <w:p>
            <w:pPr>
              <w:pStyle w:val="759"/>
              <w:contextualSpacing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54507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pStyle w:val="938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9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  <w:br w:type="page" w:clear="all"/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pStyle w:val="938"/>
        <w:numPr>
          <w:ilvl w:val="2"/>
          <w:numId w:val="1"/>
        </w:num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365f91"/>
        </w:rPr>
        <w:t xml:space="preserve">Протяженность ЛЭП филиала ПАО «Россети Юг» - «Волгоградэнерго»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Ind w:w="392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395"/>
        <w:gridCol w:w="1109"/>
        <w:gridCol w:w="1566"/>
        <w:gridCol w:w="1778"/>
        <w:gridCol w:w="1015"/>
        <w:gridCol w:w="1549"/>
        <w:gridCol w:w="1549"/>
      </w:tblGrid>
      <w:tr>
        <w:tblPrEx/>
        <w:trPr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vMerge w:val="restart"/>
            <w:textDirection w:val="lrTb"/>
            <w:noWrap w:val="false"/>
          </w:tcPr>
          <w:p>
            <w:pPr>
              <w:pStyle w:val="759"/>
              <w:ind w:left="0" w:right="0" w:firstLine="0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 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48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Значение показателя, годы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>
          <w:trHeight w:val="1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453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2023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9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2024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>
          <w:trHeight w:val="2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(шт)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Протяженность по трассе (км)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Протяженность по цепям (км)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Кол-во (шт)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Протяженность по трассе (км)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Протяженность по цепям (км)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0.4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17 113,0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13 976,8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13 976,8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17 365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14 058,64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14 058,64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6-20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1 432,0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22 011,7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22 015,6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1 432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22 095,02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22 098,87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35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2 781,8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2 960,0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2 786,17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2 967,54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110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5 891,1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7 181,9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5 894,10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7 183,93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 220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141,0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141,0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141,00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141,00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ИТОГО ВЛ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18 955,0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44 802,4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46 275,4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19 207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44 974,93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46 449,98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 0.4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1 140,0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179,2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179,2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1 141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180,80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180,80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 6-20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517,0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297,2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297,2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531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302,54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302,54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 110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ИТОГО КЛ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1 658,0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476,5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476,5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1 673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483,42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483,42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0.4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18 253,0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14 156,0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14 156,0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18 506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14 239,44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14 239,44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6-20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1 949,0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22 308,9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22 312,8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1 963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22 397,56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22 401,41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35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148,0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2 781,8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2 960,0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2 786,17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2 967,54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110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261,0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5 891,2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7 182,0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5 894,18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7 184,01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31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ЛЭП 220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141,00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141,00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686" w:hRule="exac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ИТОГО ЛЭП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9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20 613,0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45 278,9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vAlign w:val="top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46 751,8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20 880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45 458,35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36" w:type="dxa"/>
            <w:vAlign w:val="center"/>
            <w:textDirection w:val="lrTb"/>
            <w:noWrap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46 933,40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938"/>
        <w:ind w:left="1080"/>
        <w:jc w:val="right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numPr>
          <w:ilvl w:val="2"/>
          <w:numId w:val="1"/>
        </w:num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Количество и мощность подстанций филиала ПАО «Россети Юг» - «Волгоградэнерго».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77"/>
        <w:gridCol w:w="1559"/>
        <w:gridCol w:w="1701"/>
        <w:gridCol w:w="1559"/>
        <w:gridCol w:w="2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9"/>
        </w:trPr>
        <w:tc>
          <w:tcPr>
            <w:tcW w:w="2977" w:type="dxa"/>
            <w:vAlign w:val="top"/>
            <w:vMerge w:val="restart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W w:w="3260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2023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W w:w="3685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2024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1"/>
        </w:trPr>
        <w:tc>
          <w:tcPr>
            <w:tcW w:w="2977" w:type="dxa"/>
            <w:vAlign w:val="top"/>
            <w:vMerge w:val="continue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(шт.)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(шт.)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9"/>
        </w:trPr>
        <w:tc>
          <w:tcPr>
            <w:tcW w:w="2977" w:type="dxa"/>
            <w:vAlign w:val="center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35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133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787,48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133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787,48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9"/>
        </w:trPr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110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260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5 672,90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261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5 752,9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9"/>
        </w:trPr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938"/>
              <w:ind w:left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220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126,0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126,0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9"/>
        </w:trPr>
        <w:tc>
          <w:tcPr>
            <w:tcW w:w="2977" w:type="dxa"/>
            <w:vAlign w:val="center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и мощность ТП, РП 6-10/0,38 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10 172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1 882,76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10 315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1 905,42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9"/>
        </w:trPr>
        <w:tc>
          <w:tcPr>
            <w:tcW w:w="2977" w:type="dxa"/>
            <w:vAlign w:val="center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Итого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10 567</w:t>
            </w:r>
            <w:r>
              <w:rPr>
                <w:rFonts w:ascii="Times New Roman" w:hAnsi="Times New Roman"/>
                <w:b/>
                <w:lang w:eastAsia="ru-RU"/>
              </w:rPr>
            </w:r>
            <w:r>
              <w:rPr>
                <w:rFonts w:ascii="Times New Roman" w:hAnsi="Times New Roman"/>
                <w:b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8 469,14</w:t>
            </w:r>
            <w:r>
              <w:rPr>
                <w:rFonts w:ascii="Times New Roman" w:hAnsi="Times New Roman"/>
                <w:b/>
                <w:lang w:eastAsia="ru-RU"/>
              </w:rPr>
            </w:r>
            <w:r>
              <w:rPr>
                <w:rFonts w:ascii="Times New Roman" w:hAnsi="Times New Roman"/>
                <w:b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10 711</w:t>
            </w:r>
            <w:r>
              <w:rPr>
                <w:rFonts w:ascii="Times New Roman" w:hAnsi="Times New Roman"/>
                <w:b/>
                <w:lang w:eastAsia="ru-RU"/>
              </w:rPr>
            </w:r>
            <w:r>
              <w:rPr>
                <w:rFonts w:ascii="Times New Roman" w:hAnsi="Times New Roman"/>
                <w:b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8 571,80</w:t>
            </w:r>
            <w:r>
              <w:rPr>
                <w:rFonts w:ascii="Times New Roman" w:hAnsi="Times New Roman"/>
                <w:b/>
                <w:lang w:eastAsia="ru-RU"/>
              </w:rPr>
            </w:r>
            <w:r>
              <w:rPr>
                <w:rFonts w:ascii="Times New Roman" w:hAnsi="Times New Roman"/>
                <w:b/>
                <w:lang w:eastAsia="ru-RU"/>
              </w:rPr>
            </w:r>
          </w:p>
        </w:tc>
      </w:tr>
    </w:tbl>
    <w:p>
      <w:pPr>
        <w:pStyle w:val="759"/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pStyle w:val="759"/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Уровень физического износа объектов электросетевого хозяйства сетевой организации </w:t>
      </w:r>
      <w:r>
        <w:rPr>
          <w:rFonts w:ascii="Times New Roman" w:hAnsi="Times New Roman"/>
        </w:rPr>
        <w:t xml:space="preserve">с разбивкой по уровням напряжения и по типам оборудования, а также динамика по отношению к году, предшествующему отчетному, заполняется в произвольной форме и выражается в процентах по отношению к нормативному сроку службы объектов.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tbl>
      <w:tblPr>
        <w:tblW w:w="9922" w:type="dxa"/>
        <w:tblInd w:w="392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57"/>
        <w:gridCol w:w="2215"/>
        <w:gridCol w:w="2950"/>
      </w:tblGrid>
      <w:tr>
        <w:tblPrEx/>
        <w:trPr>
          <w:trHeight w:val="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vMerge w:val="restart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16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3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Трансформаторное оборудование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88,15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87,98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Коммутационные аппараты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75,18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74,06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391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Общий износ по оборудованию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79,15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78,31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391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ВЛ 35-220 кВ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88,00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93,50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391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ВЛ 0,4-20 кВ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84,91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86,44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КЛ 35-220 кВ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КЛ 0,4-20 кВ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57,70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19,95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57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Общий износ по линиям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5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85,31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0" w:type="dxa"/>
            <w:vAlign w:val="center"/>
            <w:textDirection w:val="lrTb"/>
            <w:noWrap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87,31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</w:tbl>
    <w:p>
      <w:pPr>
        <w:pStyle w:val="759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br w:type="page" w:clear="all"/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0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t xml:space="preserve">Информация о качестве услуг по передаче электрической энергии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Показатели качества услуг по передаче электрической энергии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tbl>
      <w:tblPr>
        <w:tblW w:w="9881" w:type="dxa"/>
        <w:tblInd w:w="5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7"/>
        <w:gridCol w:w="5575"/>
        <w:gridCol w:w="1143"/>
        <w:gridCol w:w="1001"/>
        <w:gridCol w:w="1305"/>
      </w:tblGrid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vMerge w:val="restart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vMerge w:val="restart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49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6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2023 г.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2024 г.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Динамика изменения показателя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54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продолжительности прекращений передачи электрической энергии (Пsaidi)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3,6053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3,4945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-3,07%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4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частоты прекращений передачи электрической энергии (Пsaifi)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2,1542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2,0368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-5,45%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263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(Пsaidi, план)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12,1138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9,1159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-24,75%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75" w:type="dxa"/>
            <w:vAlign w:val="bottom"/>
            <w:textDirection w:val="lrTb"/>
            <w:noWrap/>
          </w:tcPr>
          <w:tbl>
            <w:tblPr>
              <w:tblW w:w="5950" w:type="dxa"/>
              <w:tblCellSpacing w:w="0" w:type="dxa"/>
              <w:tblInd w:w="0" w:type="dxa"/>
              <w:tblLayout w:type="fixed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5950"/>
            </w:tblGrid>
            <w:tr>
              <w:tblPrEx/>
              <w:trPr>
                <w:tblCellSpacing w:w="0" w:type="dxa"/>
                <w:trHeight w:val="75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950" w:type="dxa"/>
                  <w:vAlign w:val="center"/>
                  <w:textDirection w:val="lrTb"/>
                  <w:noWrap w:val="false"/>
                </w:tcPr>
                <w:p>
                  <w:pPr>
                    <w:pStyle w:val="759"/>
                    <w:ind w:right="585"/>
                    <w:jc w:val="right"/>
                    <w:spacing w:after="0" w:line="240" w:lineRule="auto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ascii="Times New Roman" w:hAnsi="Times New Roman" w:eastAsia="Times New Roman"/>
                      <w:lang w:eastAsia="ru-RU"/>
                    </w:rPr>
                    <w:t xml:space="preserve">ВН (110 кВ и выше)</w:t>
                  </w:r>
                  <w:r>
                    <w:rPr>
                      <w:rFonts w:ascii="Times New Roman" w:hAnsi="Times New Roman" w:eastAsia="Times New Roman"/>
                    </w:rPr>
                  </w:r>
                  <w:r>
                    <w:rPr>
                      <w:rFonts w:ascii="Times New Roman" w:hAnsi="Times New Roman" w:eastAsia="Times New Roman"/>
                    </w:rPr>
                  </w:r>
                </w:p>
              </w:tc>
            </w:tr>
          </w:tbl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81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(Пsaifi, план)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3,0430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2,3622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-22,37%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75" w:type="dxa"/>
            <w:vAlign w:val="bottom"/>
            <w:textDirection w:val="lrTb"/>
            <w:noWrap/>
          </w:tcPr>
          <w:tbl>
            <w:tblPr>
              <w:tblW w:w="5950" w:type="dxa"/>
              <w:tblCellSpacing w:w="0" w:type="dxa"/>
              <w:tblInd w:w="0" w:type="dxa"/>
              <w:tblLayout w:type="fixed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5950"/>
            </w:tblGrid>
            <w:tr>
              <w:tblPrEx/>
              <w:trPr>
                <w:tblCellSpacing w:w="0" w:type="dxa"/>
                <w:trHeight w:val="274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950" w:type="dxa"/>
                  <w:vAlign w:val="center"/>
                  <w:textDirection w:val="lrTb"/>
                  <w:noWrap w:val="false"/>
                </w:tcPr>
                <w:p>
                  <w:pPr>
                    <w:pStyle w:val="759"/>
                    <w:ind w:right="585"/>
                    <w:jc w:val="right"/>
                    <w:spacing w:after="0" w:line="240" w:lineRule="auto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ascii="Times New Roman" w:hAnsi="Times New Roman" w:eastAsia="Times New Roman"/>
                      <w:lang w:eastAsia="ru-RU"/>
                    </w:rPr>
                    <w:t xml:space="preserve">ВН (110 кВ и выше)</w:t>
                  </w:r>
                  <w:r>
                    <w:rPr>
                      <w:rFonts w:ascii="Times New Roman" w:hAnsi="Times New Roman" w:eastAsia="Times New Roman"/>
                    </w:rPr>
                  </w:r>
                  <w:r>
                    <w:rPr>
                      <w:rFonts w:ascii="Times New Roman" w:hAnsi="Times New Roman" w:eastAsia="Times New Roman"/>
                    </w:rPr>
                  </w:r>
                </w:p>
              </w:tc>
            </w:tr>
          </w:tbl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right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09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09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5.1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75" w:type="dxa"/>
            <w:vAlign w:val="center"/>
            <w:textDirection w:val="lrTb"/>
            <w:noWrap w:val="false"/>
          </w:tcPr>
          <w:p>
            <w:pPr>
              <w:pStyle w:val="759"/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938"/>
        <w:ind w:left="1080"/>
        <w:jc w:val="both"/>
        <w:spacing w:after="0"/>
        <w:rPr>
          <w:rFonts w:ascii="Times New Roman" w:hAnsi="Times New Roman"/>
          <w:b/>
          <w:color w:val="365f91"/>
        </w:rPr>
        <w:sectPr>
          <w:footnotePr/>
          <w:endnotePr/>
          <w:type w:val="nextPage"/>
          <w:pgSz w:w="11906" w:h="16838" w:orient="portrait"/>
          <w:pgMar w:top="851" w:right="851" w:bottom="851" w:left="85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Рейтинг структурных единиц сетевой организации </w:t>
      </w:r>
      <w:r>
        <w:rPr>
          <w:rFonts w:ascii="Times New Roman" w:hAnsi="Times New Roman"/>
        </w:rPr>
        <w:t xml:space="preserve">по качеству оказания услуг по передаче электрической энергии, а также по качеству электрической энергии в отчетном периоде.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tbl>
      <w:tblPr>
        <w:tblW w:w="15543" w:type="dxa"/>
        <w:jc w:val="center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75"/>
        <w:gridCol w:w="1993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2153"/>
        <w:gridCol w:w="1742"/>
      </w:tblGrid>
      <w:tr>
        <w:tblPrEx/>
        <w:trPr>
          <w:trHeight w:val="48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vAlign w:val="center"/>
            <w:vMerge w:val="restart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3" w:type="dxa"/>
            <w:vAlign w:val="center"/>
            <w:vMerge w:val="restart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Структурная единица сетевой организации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продолжительности прекращений передачи электрической энергии,</w:t>
              <w:br w:type="textWrapping" w:clear="all"/>
              <w:t xml:space="preserve">Пsaidi 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средней частоты прекращений передачи электрической энергии,</w:t>
              <w:br w:type="textWrapping" w:clear="all"/>
              <w:t xml:space="preserve">Пsaifi 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средн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  <w:br/>
              <w:t xml:space="preserve">Пsaidi,рем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  <w:br/>
              <w:t xml:space="preserve">Пsaifi,рем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vMerge w:val="restart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Показатель качества оказания услуг по передаче электри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vAlign w:val="center"/>
            <w:vMerge w:val="restart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3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9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3" w:type="dxa"/>
            <w:vAlign w:val="center"/>
            <w:textDirection w:val="lrTb"/>
            <w:noWrap w:val="false"/>
          </w:tcPr>
          <w:p>
            <w:pPr>
              <w:pStyle w:val="7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Филиал "Волгоградэнерго"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3,4945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2,0368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9,1159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2,3622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pStyle w:val="7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7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938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1"/>
          <w:numId w:val="15"/>
        </w:numPr>
        <w:jc w:val="both"/>
        <w:spacing w:after="0"/>
        <w:rPr>
          <w:rFonts w:ascii="Times New Roman" w:hAnsi="Times New Roman"/>
          <w:b/>
          <w:color w:val="365f91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  <w:t xml:space="preserve">Мероприятия, выполненные сетевой организацией </w:t>
      </w:r>
      <w:r>
        <w:rPr>
          <w:rFonts w:ascii="Times New Roman" w:hAnsi="Times New Roman"/>
        </w:rPr>
        <w:t xml:space="preserve">в целях повышения качества оказания услуг по передаче электрической энергии в отчетном периоде.</w:t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pStyle w:val="93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намеченные мероприятия выполнены в полном объеме. Выполнение мероприятий позволило достигнуть в 2024 году установленного Комитетом тарифного регулирования уровня надежности оказываемых услуг – выполнены показатели надежности </w:t>
      </w:r>
      <w:r>
        <w:rPr>
          <w:rFonts w:ascii="Times New Roman" w:hAnsi="Times New Roman" w:eastAsia="Times New Roman"/>
          <w:lang w:eastAsia="ru-RU"/>
        </w:rPr>
        <w:t xml:space="preserve">Пsaidi / Пsaifi.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jc w:val="both"/>
        <w:spacing w:after="0"/>
      </w:pPr>
      <w:r>
        <w:rPr>
          <w:rFonts w:ascii="Times New Roman" w:hAnsi="Times New Roman"/>
          <w:b/>
          <w:color w:val="365f91"/>
        </w:rPr>
      </w:r>
      <w:r/>
    </w:p>
    <w:p>
      <w:pPr>
        <w:pStyle w:val="938"/>
        <w:numPr>
          <w:ilvl w:val="0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t xml:space="preserve">Информация о качестве услуг по технологическому присоединению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Информация о наличии невостребованной мощности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3.1. приложение №1.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Мероприятия, выполненные сетевой организацией </w:t>
      </w:r>
      <w:r>
        <w:rPr>
          <w:rFonts w:ascii="Times New Roman" w:hAnsi="Times New Roman"/>
        </w:rPr>
        <w:t xml:space="preserve">в целях совершенствования деятельности по технологическому присоединению в отчетном периоде.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 w:firstLine="3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целях совершенствования деятельности по технологическому присоединению в филиале ПАО «Россети Юг» - «Волгоградэнерго» на регулярной основе осуществляется взаимодействие с ПАО </w:t>
      </w:r>
      <w:r>
        <w:rPr>
          <w:rFonts w:ascii="Times New Roman" w:hAnsi="Times New Roman"/>
        </w:rPr>
        <w:t xml:space="preserve">«Волгоградэнергосбыт» и иными энергоснабжающими организациями по созданию условий для упрощения подключения заявителей к электрическим сетям. Обеспечена возможность заключения договора энергоснабжения до завершения процедуры технологического присоединения.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 w:firstLine="3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Интерактивные сервисы в части оказания услуг клиентам, в том числе по технологическому присоединению, переведены в формат единой точки доступа на базе Портала электросетевых услуг «Россети».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0"/>
        <w:jc w:val="both"/>
        <w:spacing w:after="0"/>
        <w:rPr>
          <w:rFonts w:ascii="Times New Roman" w:hAnsi="Times New Roman"/>
          <w:b/>
          <w:color w:val="a6a6a6"/>
        </w:rPr>
      </w:pPr>
      <w:r>
        <w:rPr>
          <w:rFonts w:ascii="Times New Roman" w:hAnsi="Times New Roman"/>
          <w:b/>
          <w:color w:val="a6a6a6"/>
        </w:rPr>
      </w:r>
      <w:r>
        <w:rPr>
          <w:rFonts w:ascii="Times New Roman" w:hAnsi="Times New Roman"/>
          <w:b/>
          <w:color w:val="a6a6a6"/>
        </w:rPr>
      </w:r>
      <w:r>
        <w:rPr>
          <w:rFonts w:ascii="Times New Roman" w:hAnsi="Times New Roman"/>
          <w:b/>
          <w:color w:val="a6a6a6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Сведения о качестве услуг по технологическому присоединению </w:t>
      </w:r>
      <w:r>
        <w:rPr>
          <w:rFonts w:ascii="Times New Roman" w:hAnsi="Times New Roman"/>
        </w:rPr>
        <w:t xml:space="preserve">к электрическим сетям сетевой организации.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 w:firstLine="336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</w:rPr>
        <w:t xml:space="preserve">Таблица 3.4. приложение №1.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numPr>
          <w:ilvl w:val="0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  <w:t xml:space="preserve">Качество обслуживания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Количество обращений, поступивших в сетевую организацию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ind w:left="372" w:firstLine="708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</w:rPr>
        <w:t xml:space="preserve">Таблица 4.1. приложение №1.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Информация о деятельности офисов обслуживания </w:t>
      </w:r>
      <w:r>
        <w:rPr>
          <w:rFonts w:ascii="Times New Roman" w:hAnsi="Times New Roman"/>
        </w:rPr>
        <w:t xml:space="preserve">потребителей.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firstLine="36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</w:rPr>
        <w:t xml:space="preserve">Таблица 4.2. приложение №1.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Информация о заочном обслуживании потребителей </w:t>
      </w:r>
      <w:r>
        <w:rPr>
          <w:rFonts w:ascii="Times New Roman" w:hAnsi="Times New Roman"/>
        </w:rPr>
        <w:t xml:space="preserve">посредством телефонной связи.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firstLine="360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</w:rPr>
        <w:t xml:space="preserve">Таблица 4.3. приложение №1.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759"/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br w:type="page" w:clear="all"/>
      </w:r>
      <w:r>
        <w:rPr>
          <w:rFonts w:ascii="Times New Roman" w:hAnsi="Times New Roman"/>
          <w:color w:val="365f91"/>
        </w:rPr>
        <w:t xml:space="preserve">Категория обращений, в которой зарегистрировано наибольшее число обращений 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tbl>
      <w:tblPr>
        <w:tblW w:w="9474" w:type="dxa"/>
        <w:tblInd w:w="5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68"/>
        <w:gridCol w:w="1609"/>
        <w:gridCol w:w="1733"/>
        <w:gridCol w:w="2264"/>
      </w:tblGrid>
      <w:tr>
        <w:tblPrEx/>
        <w:trPr>
          <w:trHeight w:val="4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vAlign w:val="top"/>
            <w:vMerge w:val="restart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Наименование ДО/ филиала ДО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06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Филиал ПАО "Россети Юг" - "Волгоградэнерго"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342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Количество обращений, шт.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3" w:type="dxa"/>
            <w:vAlign w:val="top"/>
            <w:vMerge w:val="restart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Темп роста, %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14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8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3" w:type="dxa"/>
            <w:vAlign w:val="center"/>
            <w:vMerge w:val="continue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Распределение обращений по категории обращений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54176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48655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89,81%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 Жалоба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1689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1759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104,14%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 Запрос справочной информации/консультации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29254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17518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59,88%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 Заявка на оказание услуг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12724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12254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96,31%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1.3.1. заявка на ТП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3576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3589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100,36%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1.3.2. заявление на переоформление (восстановление) документов ТП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2906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2530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87,06%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1.3.3. заявление на перераспределение мощности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0,00%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1.3.4. заявка на установку/замену прибора учета по ФЗ-522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0,00%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shd w:val="clear" w:color="000000" w:fill="ffffff"/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1.3.5. заявление на заключение договора по передаче электроэнергии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54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29,67%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1.3.6. заявка на дополнительные услуги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4533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4515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99,60%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6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6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1.3.7. прочее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1527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1518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99,41%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1.4. Приём/выдача документов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0,00%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1.5. Сообщение информации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10178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16841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165,46%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из них по аварийным отключениям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4689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3380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72,08%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1.6. Прием платежей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0,00%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1.7. Отзыв о деятельности компании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78,57%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1.8. Предложение по повышению качества обслуживания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0,00%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"/>
        </w:trPr>
        <w:tc>
          <w:tcPr>
            <w:tcW w:w="3868" w:type="dxa"/>
            <w:vAlign w:val="top"/>
            <w:textDirection w:val="lrTb"/>
            <w:noWrap w:val="false"/>
          </w:tcPr>
          <w:p>
            <w:pPr>
              <w:pStyle w:val="759"/>
              <w:ind w:firstLine="200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1.9. Прочие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317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3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3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85,80%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759"/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365f91"/>
        </w:rPr>
        <w:t xml:space="preserve">Описание дополнительных услуг</w:t>
      </w:r>
      <w:r>
        <w:rPr>
          <w:rFonts w:ascii="Times New Roman" w:hAnsi="Times New Roman"/>
        </w:rPr>
        <w:t xml:space="preserve">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Кроме основных видов деятельности, филиал ПАО «Россети Юг» - «Волгоградэнерго» осуществляет прочие виды деятельности в рамках оказания дополнительных (нетарифных)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Филиалом на возмез</w:t>
      </w:r>
      <w:r>
        <w:rPr>
          <w:rFonts w:ascii="Times New Roman" w:hAnsi="Times New Roman"/>
        </w:rPr>
        <w:t xml:space="preserve">дной основе оказываются услуги по организации учета электрической энергии, техническому и ремонтно-эксплуатационному обслуживанию электросетевых объектов, совместному использованию опор, размещению оборудования, выполнению строительно-монтажных работ и пр.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Оказание дополнительных (нетарифных) услуг осуществляется в соответствии с перечнем дополнительных (нетарифных) услуг ПАО «Россети Юг»: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Аренда и услуги по размещению;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Услуги по техническому и ремонтно-эксплуатационному обслуживанию;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Выполнение строительно-монтажных работ;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Консультационные и организационно-технические услуги;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Агентские услуги;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Услуги связи и информационных технологий;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Другие услуги прочей деятельности;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Другие прочие услуги.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Мероприятия, направленные на работу с социально уязвимыми группами населения.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Филиал ПАО «Россети Юг» - «Волгоградэнерго» обеспечивает обслуживание потребителей с соблюдением требований к организации офисов обслуживания потребителей, предусмотренных Стандартом качества обслуживания потребителей услуг ПАО «Россети Юг».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365f91"/>
        </w:rPr>
        <w:t xml:space="preserve">Темы и результаты опросов потребителей, проводимых сетевой организацией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</w:t>
      </w:r>
      <w:r>
        <w:rPr>
          <w:rFonts w:ascii="Times New Roman" w:hAnsi="Times New Roman"/>
        </w:rPr>
        <w:t xml:space="preserve">ля изучения мнения потребителей услуг о качестве предоставляемых услуг на регулярной основе проводится анкетирование потребителей услуг. С целью оценки удовлетворенности потребителей качеством обслуживания в 2024 году собрано и проанализировано 247 анкет.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640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86"/>
        <w:gridCol w:w="2220"/>
        <w:gridCol w:w="1888"/>
        <w:gridCol w:w="31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"/>
        </w:trPr>
        <w:tc>
          <w:tcPr>
            <w:tcW w:w="2386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Метод</w:t>
            </w:r>
            <w:r>
              <w:rPr>
                <w:rFonts w:ascii="Times New Roman" w:hAnsi="Times New Roman" w:eastAsia="Times New Roman"/>
                <w:b/>
                <w:bCs/>
              </w:rPr>
            </w:r>
            <w:r>
              <w:rPr>
                <w:rFonts w:ascii="Times New Roman" w:hAnsi="Times New Roman" w:eastAsia="Times New Roman"/>
                <w:b/>
                <w:bCs/>
              </w:rPr>
            </w:r>
          </w:p>
        </w:tc>
        <w:tc>
          <w:tcPr>
            <w:tcW w:w="2220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Объект исследования</w:t>
            </w:r>
            <w:r>
              <w:rPr>
                <w:rFonts w:ascii="Times New Roman" w:hAnsi="Times New Roman" w:eastAsia="Times New Roman"/>
                <w:b/>
                <w:bCs/>
              </w:rPr>
            </w:r>
            <w:r>
              <w:rPr>
                <w:rFonts w:ascii="Times New Roman" w:hAnsi="Times New Roman" w:eastAsia="Times New Roman"/>
                <w:b/>
                <w:bCs/>
              </w:rPr>
            </w:r>
          </w:p>
        </w:tc>
        <w:tc>
          <w:tcPr>
            <w:tcW w:w="1888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Количество респондентов</w:t>
            </w:r>
            <w:r>
              <w:rPr>
                <w:rFonts w:ascii="Times New Roman" w:hAnsi="Times New Roman" w:eastAsia="Times New Roman"/>
                <w:b/>
                <w:bCs/>
              </w:rPr>
            </w:r>
            <w:r>
              <w:rPr>
                <w:rFonts w:ascii="Times New Roman" w:hAnsi="Times New Roman" w:eastAsia="Times New Roman"/>
                <w:b/>
                <w:bCs/>
              </w:rPr>
            </w:r>
          </w:p>
        </w:tc>
        <w:tc>
          <w:tcPr>
            <w:tcW w:w="3146" w:type="dxa"/>
            <w:vAlign w:val="top"/>
            <w:textDirection w:val="lrTb"/>
            <w:noWrap w:val="false"/>
          </w:tcPr>
          <w:p>
            <w:pPr>
              <w:pStyle w:val="7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Цель исследования</w:t>
            </w:r>
            <w:r>
              <w:rPr>
                <w:rFonts w:ascii="Times New Roman" w:hAnsi="Times New Roman" w:eastAsia="Times New Roman"/>
                <w:b/>
                <w:bCs/>
              </w:rPr>
            </w:r>
            <w:r>
              <w:rPr>
                <w:rFonts w:ascii="Times New Roman" w:hAnsi="Times New Roman" w:eastAsia="Times New Roman"/>
                <w:b/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/>
        </w:trPr>
        <w:tc>
          <w:tcPr>
            <w:tcW w:w="2386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Интервью по телефону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20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Потребители филиала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88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6" w:type="dxa"/>
            <w:vAlign w:val="center"/>
            <w:textDirection w:val="lrTb"/>
            <w:noWrap w:val="false"/>
          </w:tcPr>
          <w:p>
            <w:pPr>
              <w:pStyle w:val="7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оценка доступности энергетической инфраструктуры в рамках национального рейтинга состояния инвестиционного климата по направлению "Эффективность процедур по подключению электроэнергии"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759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 w:firstLine="336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Полученные статистические данные </w:t>
      </w:r>
      <w:r>
        <w:rPr>
          <w:rFonts w:ascii="Times New Roman" w:hAnsi="Times New Roman"/>
        </w:rPr>
        <w:t xml:space="preserve">говорят о том, что потребители в целом положительно оценивают качество предоставляемых услуг, следовательно, филиал в полной мере реализует клиентоориентированную политику, которая отражает место интересов потребителей услуг в системе приоритетов компании.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938"/>
        <w:numPr>
          <w:ilvl w:val="1"/>
          <w:numId w:val="1"/>
        </w:numPr>
        <w:jc w:val="both"/>
        <w:spacing w:after="0"/>
        <w:rPr>
          <w:rFonts w:ascii="Times New Roman" w:hAnsi="Times New Roman"/>
          <w:b/>
          <w:color w:val="365f91"/>
        </w:rPr>
      </w:pPr>
      <w:r>
        <w:rPr>
          <w:rFonts w:ascii="Times New Roman" w:hAnsi="Times New Roman"/>
          <w:color w:val="365f91"/>
        </w:rPr>
        <w:t xml:space="preserve">Мероприятия, выполняемые сетевой организацией </w:t>
      </w:r>
      <w:r>
        <w:rPr>
          <w:rFonts w:ascii="Times New Roman" w:hAnsi="Times New Roman"/>
        </w:rPr>
        <w:t xml:space="preserve">в целях повышения качества обслуживания потребителей.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left="1080" w:firstLine="338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202</w:t>
      </w:r>
      <w:r>
        <w:rPr>
          <w:rFonts w:ascii="Times New Roman" w:hAnsi="Times New Roman"/>
        </w:rPr>
        <w:t xml:space="preserve">4</w:t>
      </w:r>
      <w:r>
        <w:rPr>
          <w:rFonts w:ascii="Times New Roman" w:hAnsi="Times New Roman"/>
        </w:rPr>
        <w:t xml:space="preserve"> г. реализованы следующие мероприятия по повышению качества услуг и обслуживания: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 w:firstLine="3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Оптимизирован порядок взаимодействия с гарантирующим поставщиком в процессе технологического присоединения к электрическим сет</w:t>
      </w:r>
      <w:r>
        <w:rPr>
          <w:rFonts w:ascii="Times New Roman" w:hAnsi="Times New Roman"/>
        </w:rPr>
        <w:t xml:space="preserve">ям заявителей, указанных в п. 12(1), 13(2) – 13(5) и п. 14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</w:t>
      </w:r>
      <w:r>
        <w:rPr>
          <w:rFonts w:ascii="Times New Roman" w:hAnsi="Times New Roman"/>
        </w:rPr>
        <w:t xml:space="preserve">надлежащих сетевым организациям и иным лицам, к электрическим сетям, утвержденных Постановлением Правительства РФ 27.12.2004 № 861, а также заявителей – физических лиц, энергопринимающие устройства которых соответствуют критериям, указанным в пункте 12(1).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 w:firstLine="3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Проведено два семинара – совещания с участием представителей бизнес-сообществ и органов исполнительной власти Волгоградской области, направленных на повышение информированности заявителей об услугах и сервисах, предоставляемых Обществом.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 w:firstLine="3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Модернизирован раздел «Потребителям» на официальном сайте Общества в части соответствия требованиям Стандартов качества обслуживания потребителей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 w:firstLine="338"/>
        <w:jc w:val="both"/>
        <w:rPr>
          <w:rFonts w:ascii="Times New Roman" w:hAnsi="Times New Roman"/>
          <w:iCs/>
          <w:highlight w:val="none"/>
        </w:rPr>
      </w:pPr>
      <w:r>
        <w:rPr>
          <w:rFonts w:ascii="Times New Roman" w:hAnsi="Times New Roman"/>
        </w:rPr>
        <w:t xml:space="preserve">4. </w:t>
      </w:r>
      <w:r>
        <w:rPr>
          <w:rFonts w:ascii="Times New Roman" w:hAnsi="Times New Roman"/>
        </w:rPr>
        <w:t xml:space="preserve">Проведено обучение работников, задействованных в обслуживании потребителей </w:t>
        <w:br/>
        <w:t xml:space="preserve">ПАО «Россети Юг». </w:t>
      </w:r>
      <w:r>
        <w:rPr>
          <w:rFonts w:ascii="Times New Roman" w:hAnsi="Times New Roman"/>
          <w:iCs/>
          <w:highlight w:val="none"/>
        </w:rPr>
      </w:r>
      <w:r>
        <w:rPr>
          <w:rFonts w:ascii="Times New Roman" w:hAnsi="Times New Roman"/>
          <w:iCs/>
          <w:highlight w:val="none"/>
        </w:rPr>
      </w:r>
    </w:p>
    <w:p>
      <w:pPr>
        <w:pStyle w:val="938"/>
        <w:ind w:left="1080" w:firstLine="338"/>
        <w:jc w:val="both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  <w:t xml:space="preserve">5. </w:t>
      </w: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Изготовлены графические макеты об услугах и сервисах, предоставляемых Обществом, в том числе в цифровом формате, выполнена полиграфическая печать.</w:t>
      </w: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38"/>
        <w:ind w:left="1080" w:firstLine="338"/>
        <w:jc w:val="both"/>
        <w:spacing w:after="0" w:afterAutospacing="0"/>
        <w:rPr>
          <w:rFonts w:ascii="Times New Roman" w:hAnsi="Times New Roman"/>
          <w:highlight w:val="none"/>
        </w:rPr>
      </w:pPr>
      <w:r>
        <w:rPr>
          <w:rFonts w:ascii="Times New Roman" w:hAnsi="Times New Roman"/>
          <w:iCs/>
        </w:rPr>
        <w:t xml:space="preserve">6. </w:t>
      </w:r>
      <w:r>
        <w:rPr>
          <w:rFonts w:ascii="Times New Roman" w:hAnsi="Times New Roman"/>
          <w:iCs/>
        </w:rPr>
        <w:t xml:space="preserve">На официальном сайте компании обновлен проект «День потребителя», разработан и реализован веб-интерфейс анкеты потребителя.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ind w:left="992" w:right="0" w:firstLine="437"/>
        <w:jc w:val="both"/>
        <w:spacing w:after="0"/>
      </w:pPr>
      <w:r>
        <w:rPr>
          <w:rFonts w:ascii="Times New Roman" w:hAnsi="Times New Roman" w:cs="Times New Roman"/>
          <w:highlight w:val="none"/>
        </w:rPr>
        <w:t xml:space="preserve">7. На территории присутствия филиала «Волгоградэнерго» </w:t>
      </w:r>
      <w:r>
        <w:rPr>
          <w:rFonts w:ascii="Times New Roman" w:hAnsi="Times New Roman" w:cs="Times New Roman"/>
          <w:highlight w:val="none"/>
        </w:rPr>
        <w:t xml:space="preserve">запущен единый короткий номер 220 горячей линии энергетиков «Светлая линия 220».</w:t>
      </w:r>
      <w:r/>
    </w:p>
    <w:p>
      <w:pPr>
        <w:pStyle w:val="938"/>
        <w:ind w:left="1080" w:firstLine="338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highlight w:val="none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8"/>
        <w:ind w:left="1080"/>
        <w:jc w:val="both"/>
        <w:spacing w:after="0"/>
        <w:rPr>
          <w:rFonts w:ascii="Times New Roman" w:hAnsi="Times New Roman"/>
          <w:color w:val="365f91"/>
        </w:rPr>
      </w:pP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  <w:r>
        <w:rPr>
          <w:rFonts w:ascii="Times New Roman" w:hAnsi="Times New Roman"/>
          <w:color w:val="365f91"/>
        </w:rPr>
      </w:r>
    </w:p>
    <w:p>
      <w:pPr>
        <w:ind w:left="1080" w:hanging="720"/>
        <w:rPr>
          <w:rFonts w:ascii="Times New Roman" w:hAnsi="Times New Roman"/>
          <w:b/>
          <w:color w:val="365f91"/>
        </w:rPr>
      </w:pPr>
      <w:r>
        <w:rPr>
          <w:rFonts w:ascii="Times New Roman" w:hAnsi="Times New Roman" w:eastAsia="Times New Roman" w:cs="Times New Roman"/>
          <w:b/>
          <w:bCs/>
          <w:color w:val="1f497d"/>
          <w:sz w:val="28"/>
          <w:szCs w:val="28"/>
        </w:rPr>
        <w:t xml:space="preserve">4.9. </w:t>
      </w:r>
      <w:r>
        <w:rPr>
          <w:rFonts w:ascii="Times New Roman" w:hAnsi="Times New Roman"/>
          <w:color w:val="365f91"/>
        </w:rPr>
        <w:t xml:space="preserve">Информация по обращениям потребителей.</w:t>
      </w:r>
      <w:r>
        <w:rPr>
          <w:rFonts w:ascii="Times New Roman" w:hAnsi="Times New Roman"/>
          <w:b/>
          <w:color w:val="365f91"/>
        </w:rPr>
      </w:r>
      <w:r>
        <w:rPr>
          <w:rFonts w:ascii="Times New Roman" w:hAnsi="Times New Roman"/>
          <w:b/>
          <w:color w:val="365f91"/>
        </w:rPr>
      </w:r>
    </w:p>
    <w:p>
      <w:pPr>
        <w:pStyle w:val="938"/>
        <w:ind w:firstLine="360"/>
        <w:jc w:val="both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4.9. приложение №1.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Geometria Medium">
    <w:panose1 w:val="02000603000000000000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1800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eastAsia="Calibri" w:cs="Arial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b/>
        <w:color w:val="1f497d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eastAsia="Calibri" w:cs="Arial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b/>
        <w:color w:val="1f497d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eastAsia="Calibri" w:cs="Arial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b/>
        <w:color w:val="1f497d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b w:val="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2136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eastAsia="Wingdings" w:cs="Wingdings"/>
      </w:rPr>
    </w:lvl>
  </w:abstractNum>
  <w:abstractNum w:abstractNumId="14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ascii="Arial Narrow" w:hAnsi="Arial Narrow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4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3"/>
    <w:lvlOverride w:ilvl="0">
      <w:startOverride w:val="1"/>
    </w:lvlOverride>
  </w:num>
  <w:num w:numId="5">
    <w:abstractNumId w:val="14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2"/>
  </w:num>
  <w:num w:numId="13">
    <w:abstractNumId w:val="1"/>
  </w:num>
  <w:num w:numId="14">
    <w:abstractNumId w:val="4"/>
  </w:num>
  <w:num w:numId="15">
    <w:abstractNumId w:val="5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759"/>
    <w:next w:val="759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759"/>
    <w:next w:val="759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759"/>
    <w:next w:val="759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759"/>
    <w:next w:val="759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759"/>
    <w:next w:val="759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759"/>
    <w:next w:val="759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759"/>
    <w:next w:val="759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759"/>
    <w:next w:val="759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759"/>
    <w:next w:val="759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List Paragraph"/>
    <w:basedOn w:val="759"/>
    <w:uiPriority w:val="34"/>
    <w:qFormat/>
    <w:pPr>
      <w:contextualSpacing/>
      <w:ind w:left="720"/>
    </w:pPr>
  </w:style>
  <w:style w:type="paragraph" w:styleId="707">
    <w:name w:val="No Spacing"/>
    <w:uiPriority w:val="1"/>
    <w:qFormat/>
    <w:pPr>
      <w:spacing w:before="0" w:after="0" w:line="240" w:lineRule="auto"/>
    </w:pPr>
  </w:style>
  <w:style w:type="paragraph" w:styleId="708">
    <w:name w:val="Title"/>
    <w:basedOn w:val="759"/>
    <w:next w:val="759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>
    <w:name w:val="Title Char"/>
    <w:link w:val="708"/>
    <w:uiPriority w:val="10"/>
    <w:rPr>
      <w:sz w:val="48"/>
      <w:szCs w:val="48"/>
    </w:rPr>
  </w:style>
  <w:style w:type="paragraph" w:styleId="710">
    <w:name w:val="Subtitle"/>
    <w:basedOn w:val="759"/>
    <w:next w:val="759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>
    <w:name w:val="Subtitle Char"/>
    <w:link w:val="710"/>
    <w:uiPriority w:val="11"/>
    <w:rPr>
      <w:sz w:val="24"/>
      <w:szCs w:val="24"/>
    </w:rPr>
  </w:style>
  <w:style w:type="paragraph" w:styleId="712">
    <w:name w:val="Quote"/>
    <w:basedOn w:val="759"/>
    <w:next w:val="759"/>
    <w:link w:val="713"/>
    <w:uiPriority w:val="29"/>
    <w:qFormat/>
    <w:pPr>
      <w:ind w:left="720" w:right="720"/>
    </w:pPr>
    <w:rPr>
      <w:i/>
    </w:rPr>
  </w:style>
  <w:style w:type="character" w:styleId="713">
    <w:name w:val="Quote Char"/>
    <w:link w:val="712"/>
    <w:uiPriority w:val="29"/>
    <w:rPr>
      <w:i/>
    </w:rPr>
  </w:style>
  <w:style w:type="paragraph" w:styleId="714">
    <w:name w:val="Intense Quote"/>
    <w:basedOn w:val="759"/>
    <w:next w:val="759"/>
    <w:link w:val="71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>
    <w:name w:val="Intense Quote Char"/>
    <w:link w:val="714"/>
    <w:uiPriority w:val="30"/>
    <w:rPr>
      <w:i/>
    </w:rPr>
  </w:style>
  <w:style w:type="paragraph" w:styleId="716">
    <w:name w:val="Header"/>
    <w:basedOn w:val="759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Header Char"/>
    <w:link w:val="716"/>
    <w:uiPriority w:val="99"/>
  </w:style>
  <w:style w:type="paragraph" w:styleId="718">
    <w:name w:val="Footer"/>
    <w:basedOn w:val="759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19">
    <w:name w:val="Caption"/>
    <w:basedOn w:val="759"/>
    <w:next w:val="7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0">
    <w:name w:val="Caption Char"/>
    <w:basedOn w:val="719"/>
    <w:link w:val="718"/>
    <w:uiPriority w:val="99"/>
  </w:style>
  <w:style w:type="table" w:styleId="72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41">
    <w:name w:val="Hyperlink"/>
    <w:uiPriority w:val="99"/>
    <w:unhideWhenUsed/>
    <w:rPr>
      <w:color w:val="0000ff" w:themeColor="hyperlink"/>
      <w:u w:val="single"/>
    </w:rPr>
  </w:style>
  <w:style w:type="paragraph" w:styleId="742">
    <w:name w:val="footnote text"/>
    <w:basedOn w:val="759"/>
    <w:link w:val="743"/>
    <w:uiPriority w:val="99"/>
    <w:semiHidden/>
    <w:unhideWhenUsed/>
    <w:pPr>
      <w:spacing w:after="40" w:line="240" w:lineRule="auto"/>
    </w:pPr>
    <w:rPr>
      <w:sz w:val="18"/>
    </w:rPr>
  </w:style>
  <w:style w:type="character" w:styleId="743">
    <w:name w:val="Footnote Text Char"/>
    <w:link w:val="742"/>
    <w:uiPriority w:val="99"/>
    <w:rPr>
      <w:sz w:val="18"/>
    </w:rPr>
  </w:style>
  <w:style w:type="character" w:styleId="744">
    <w:name w:val="footnote reference"/>
    <w:uiPriority w:val="99"/>
    <w:unhideWhenUsed/>
    <w:rPr>
      <w:vertAlign w:val="superscript"/>
    </w:rPr>
  </w:style>
  <w:style w:type="paragraph" w:styleId="745">
    <w:name w:val="endnote text"/>
    <w:basedOn w:val="759"/>
    <w:link w:val="746"/>
    <w:uiPriority w:val="99"/>
    <w:semiHidden/>
    <w:unhideWhenUsed/>
    <w:pPr>
      <w:spacing w:after="0" w:line="240" w:lineRule="auto"/>
    </w:pPr>
    <w:rPr>
      <w:sz w:val="20"/>
    </w:rPr>
  </w:style>
  <w:style w:type="character" w:styleId="746">
    <w:name w:val="Endnote Text Char"/>
    <w:link w:val="745"/>
    <w:uiPriority w:val="99"/>
    <w:rPr>
      <w:sz w:val="20"/>
    </w:rPr>
  </w:style>
  <w:style w:type="character" w:styleId="747">
    <w:name w:val="endnote reference"/>
    <w:uiPriority w:val="99"/>
    <w:semiHidden/>
    <w:unhideWhenUsed/>
    <w:rPr>
      <w:vertAlign w:val="superscript"/>
    </w:rPr>
  </w:style>
  <w:style w:type="paragraph" w:styleId="748">
    <w:name w:val="toc 1"/>
    <w:basedOn w:val="759"/>
    <w:next w:val="759"/>
    <w:uiPriority w:val="39"/>
    <w:unhideWhenUsed/>
    <w:pPr>
      <w:ind w:left="0" w:right="0" w:firstLine="0"/>
      <w:spacing w:after="57"/>
    </w:pPr>
  </w:style>
  <w:style w:type="paragraph" w:styleId="749">
    <w:name w:val="toc 2"/>
    <w:basedOn w:val="759"/>
    <w:next w:val="759"/>
    <w:uiPriority w:val="39"/>
    <w:unhideWhenUsed/>
    <w:pPr>
      <w:ind w:left="283" w:right="0" w:firstLine="0"/>
      <w:spacing w:after="57"/>
    </w:pPr>
  </w:style>
  <w:style w:type="paragraph" w:styleId="750">
    <w:name w:val="toc 3"/>
    <w:basedOn w:val="759"/>
    <w:next w:val="759"/>
    <w:uiPriority w:val="39"/>
    <w:unhideWhenUsed/>
    <w:pPr>
      <w:ind w:left="567" w:right="0" w:firstLine="0"/>
      <w:spacing w:after="57"/>
    </w:pPr>
  </w:style>
  <w:style w:type="paragraph" w:styleId="751">
    <w:name w:val="toc 4"/>
    <w:basedOn w:val="759"/>
    <w:next w:val="759"/>
    <w:uiPriority w:val="39"/>
    <w:unhideWhenUsed/>
    <w:pPr>
      <w:ind w:left="850" w:right="0" w:firstLine="0"/>
      <w:spacing w:after="57"/>
    </w:pPr>
  </w:style>
  <w:style w:type="paragraph" w:styleId="752">
    <w:name w:val="toc 5"/>
    <w:basedOn w:val="759"/>
    <w:next w:val="759"/>
    <w:uiPriority w:val="39"/>
    <w:unhideWhenUsed/>
    <w:pPr>
      <w:ind w:left="1134" w:right="0" w:firstLine="0"/>
      <w:spacing w:after="57"/>
    </w:pPr>
  </w:style>
  <w:style w:type="paragraph" w:styleId="753">
    <w:name w:val="toc 6"/>
    <w:basedOn w:val="759"/>
    <w:next w:val="759"/>
    <w:uiPriority w:val="39"/>
    <w:unhideWhenUsed/>
    <w:pPr>
      <w:ind w:left="1417" w:right="0" w:firstLine="0"/>
      <w:spacing w:after="57"/>
    </w:pPr>
  </w:style>
  <w:style w:type="paragraph" w:styleId="754">
    <w:name w:val="toc 7"/>
    <w:basedOn w:val="759"/>
    <w:next w:val="759"/>
    <w:uiPriority w:val="39"/>
    <w:unhideWhenUsed/>
    <w:pPr>
      <w:ind w:left="1701" w:right="0" w:firstLine="0"/>
      <w:spacing w:after="57"/>
    </w:pPr>
  </w:style>
  <w:style w:type="paragraph" w:styleId="755">
    <w:name w:val="toc 8"/>
    <w:basedOn w:val="759"/>
    <w:next w:val="759"/>
    <w:uiPriority w:val="39"/>
    <w:unhideWhenUsed/>
    <w:pPr>
      <w:ind w:left="1984" w:right="0" w:firstLine="0"/>
      <w:spacing w:after="57"/>
    </w:pPr>
  </w:style>
  <w:style w:type="paragraph" w:styleId="756">
    <w:name w:val="toc 9"/>
    <w:basedOn w:val="759"/>
    <w:next w:val="759"/>
    <w:uiPriority w:val="39"/>
    <w:unhideWhenUsed/>
    <w:pPr>
      <w:ind w:left="2268" w:right="0" w:firstLine="0"/>
      <w:spacing w:after="57"/>
    </w:pPr>
  </w:style>
  <w:style w:type="paragraph" w:styleId="757">
    <w:name w:val="TOC Heading"/>
    <w:uiPriority w:val="39"/>
    <w:unhideWhenUsed/>
  </w:style>
  <w:style w:type="paragraph" w:styleId="758">
    <w:name w:val="table of figures"/>
    <w:basedOn w:val="759"/>
    <w:next w:val="759"/>
    <w:uiPriority w:val="99"/>
    <w:unhideWhenUsed/>
    <w:pPr>
      <w:spacing w:after="0" w:afterAutospacing="0"/>
    </w:pPr>
  </w:style>
  <w:style w:type="paragraph" w:styleId="759" w:default="1">
    <w:name w:val="Normal"/>
    <w:next w:val="759"/>
    <w:link w:val="759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760">
    <w:name w:val="Заголовок 1"/>
    <w:basedOn w:val="759"/>
    <w:next w:val="759"/>
    <w:link w:val="7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1">
    <w:name w:val="Заголовок 2"/>
    <w:basedOn w:val="759"/>
    <w:next w:val="759"/>
    <w:link w:val="7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2">
    <w:name w:val="Заголовок 3"/>
    <w:basedOn w:val="759"/>
    <w:next w:val="759"/>
    <w:link w:val="77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3">
    <w:name w:val="Заголовок 4"/>
    <w:basedOn w:val="759"/>
    <w:next w:val="759"/>
    <w:link w:val="7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4">
    <w:name w:val="Заголовок 5"/>
    <w:basedOn w:val="759"/>
    <w:next w:val="759"/>
    <w:link w:val="7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5">
    <w:name w:val="Заголовок 6"/>
    <w:basedOn w:val="759"/>
    <w:next w:val="759"/>
    <w:link w:val="7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6">
    <w:name w:val="Заголовок 7"/>
    <w:basedOn w:val="759"/>
    <w:next w:val="759"/>
    <w:link w:val="7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7">
    <w:name w:val="Заголовок 8"/>
    <w:basedOn w:val="759"/>
    <w:next w:val="759"/>
    <w:link w:val="7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8">
    <w:name w:val="Заголовок 9"/>
    <w:basedOn w:val="759"/>
    <w:next w:val="759"/>
    <w:link w:val="7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>
    <w:name w:val="Основной шрифт абзаца"/>
    <w:next w:val="769"/>
    <w:link w:val="759"/>
    <w:uiPriority w:val="1"/>
    <w:semiHidden/>
    <w:unhideWhenUsed/>
  </w:style>
  <w:style w:type="table" w:styleId="770">
    <w:name w:val="Обычная таблица"/>
    <w:next w:val="770"/>
    <w:link w:val="759"/>
    <w:uiPriority w:val="99"/>
    <w:semiHidden/>
    <w:unhideWhenUsed/>
    <w:tblPr/>
  </w:style>
  <w:style w:type="numbering" w:styleId="771">
    <w:name w:val="Нет списка"/>
    <w:next w:val="771"/>
    <w:link w:val="759"/>
    <w:uiPriority w:val="99"/>
    <w:semiHidden/>
    <w:unhideWhenUsed/>
  </w:style>
  <w:style w:type="character" w:styleId="772">
    <w:name w:val="Заголовок 1 Знак"/>
    <w:next w:val="772"/>
    <w:link w:val="760"/>
    <w:uiPriority w:val="9"/>
    <w:rPr>
      <w:rFonts w:ascii="Arial" w:hAnsi="Arial" w:eastAsia="Arial" w:cs="Arial"/>
      <w:sz w:val="40"/>
      <w:szCs w:val="40"/>
    </w:rPr>
  </w:style>
  <w:style w:type="character" w:styleId="773">
    <w:name w:val="Заголовок 2 Знак"/>
    <w:next w:val="773"/>
    <w:link w:val="761"/>
    <w:uiPriority w:val="9"/>
    <w:rPr>
      <w:rFonts w:ascii="Arial" w:hAnsi="Arial" w:eastAsia="Arial" w:cs="Arial"/>
      <w:sz w:val="34"/>
    </w:rPr>
  </w:style>
  <w:style w:type="character" w:styleId="774">
    <w:name w:val="Заголовок 3 Знак"/>
    <w:next w:val="774"/>
    <w:link w:val="762"/>
    <w:uiPriority w:val="9"/>
    <w:rPr>
      <w:rFonts w:ascii="Arial" w:hAnsi="Arial" w:eastAsia="Arial" w:cs="Arial"/>
      <w:sz w:val="30"/>
      <w:szCs w:val="30"/>
    </w:rPr>
  </w:style>
  <w:style w:type="character" w:styleId="775">
    <w:name w:val="Заголовок 4 Знак"/>
    <w:next w:val="775"/>
    <w:link w:val="763"/>
    <w:uiPriority w:val="9"/>
    <w:rPr>
      <w:rFonts w:ascii="Arial" w:hAnsi="Arial" w:eastAsia="Arial" w:cs="Arial"/>
      <w:b/>
      <w:bCs/>
      <w:sz w:val="26"/>
      <w:szCs w:val="26"/>
    </w:rPr>
  </w:style>
  <w:style w:type="character" w:styleId="776">
    <w:name w:val="Заголовок 5 Знак"/>
    <w:next w:val="776"/>
    <w:link w:val="764"/>
    <w:uiPriority w:val="9"/>
    <w:rPr>
      <w:rFonts w:ascii="Arial" w:hAnsi="Arial" w:eastAsia="Arial" w:cs="Arial"/>
      <w:b/>
      <w:bCs/>
      <w:sz w:val="24"/>
      <w:szCs w:val="24"/>
    </w:rPr>
  </w:style>
  <w:style w:type="character" w:styleId="777">
    <w:name w:val="Заголовок 6 Знак"/>
    <w:next w:val="777"/>
    <w:link w:val="765"/>
    <w:uiPriority w:val="9"/>
    <w:rPr>
      <w:rFonts w:ascii="Arial" w:hAnsi="Arial" w:eastAsia="Arial" w:cs="Arial"/>
      <w:b/>
      <w:bCs/>
      <w:sz w:val="22"/>
      <w:szCs w:val="22"/>
    </w:rPr>
  </w:style>
  <w:style w:type="character" w:styleId="778">
    <w:name w:val="Заголовок 7 Знак"/>
    <w:next w:val="778"/>
    <w:link w:val="7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9">
    <w:name w:val="Заголовок 8 Знак"/>
    <w:next w:val="779"/>
    <w:link w:val="767"/>
    <w:uiPriority w:val="9"/>
    <w:rPr>
      <w:rFonts w:ascii="Arial" w:hAnsi="Arial" w:eastAsia="Arial" w:cs="Arial"/>
      <w:i/>
      <w:iCs/>
      <w:sz w:val="22"/>
      <w:szCs w:val="22"/>
    </w:rPr>
  </w:style>
  <w:style w:type="character" w:styleId="780">
    <w:name w:val="Заголовок 9 Знак"/>
    <w:next w:val="780"/>
    <w:link w:val="768"/>
    <w:uiPriority w:val="9"/>
    <w:rPr>
      <w:rFonts w:ascii="Arial" w:hAnsi="Arial" w:eastAsia="Arial" w:cs="Arial"/>
      <w:i/>
      <w:iCs/>
      <w:sz w:val="21"/>
      <w:szCs w:val="21"/>
    </w:rPr>
  </w:style>
  <w:style w:type="paragraph" w:styleId="781">
    <w:name w:val="Без интервала"/>
    <w:next w:val="781"/>
    <w:link w:val="759"/>
    <w:uiPriority w:val="1"/>
    <w:qFormat/>
    <w:rPr>
      <w:sz w:val="22"/>
      <w:szCs w:val="22"/>
      <w:lang w:val="ru-RU" w:eastAsia="en-US" w:bidi="ar-SA"/>
    </w:rPr>
  </w:style>
  <w:style w:type="paragraph" w:styleId="782">
    <w:name w:val="Заголовок"/>
    <w:basedOn w:val="759"/>
    <w:next w:val="759"/>
    <w:link w:val="7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3">
    <w:name w:val="Заголовок Знак"/>
    <w:next w:val="783"/>
    <w:link w:val="782"/>
    <w:uiPriority w:val="10"/>
    <w:rPr>
      <w:sz w:val="48"/>
      <w:szCs w:val="48"/>
    </w:rPr>
  </w:style>
  <w:style w:type="paragraph" w:styleId="784">
    <w:name w:val="Подзаголовок"/>
    <w:basedOn w:val="759"/>
    <w:next w:val="759"/>
    <w:link w:val="785"/>
    <w:uiPriority w:val="11"/>
    <w:qFormat/>
    <w:pPr>
      <w:spacing w:before="200" w:after="200"/>
    </w:pPr>
    <w:rPr>
      <w:sz w:val="24"/>
      <w:szCs w:val="24"/>
    </w:rPr>
  </w:style>
  <w:style w:type="character" w:styleId="785">
    <w:name w:val="Подзаголовок Знак"/>
    <w:next w:val="785"/>
    <w:link w:val="784"/>
    <w:uiPriority w:val="11"/>
    <w:rPr>
      <w:sz w:val="24"/>
      <w:szCs w:val="24"/>
    </w:rPr>
  </w:style>
  <w:style w:type="paragraph" w:styleId="786">
    <w:name w:val="Цитата 2"/>
    <w:basedOn w:val="759"/>
    <w:next w:val="759"/>
    <w:link w:val="787"/>
    <w:uiPriority w:val="29"/>
    <w:qFormat/>
    <w:pPr>
      <w:ind w:left="720" w:right="720"/>
    </w:pPr>
    <w:rPr>
      <w:i/>
    </w:rPr>
  </w:style>
  <w:style w:type="character" w:styleId="787">
    <w:name w:val="Цитата 2 Знак"/>
    <w:next w:val="787"/>
    <w:link w:val="786"/>
    <w:uiPriority w:val="29"/>
    <w:rPr>
      <w:i/>
    </w:rPr>
  </w:style>
  <w:style w:type="paragraph" w:styleId="788">
    <w:name w:val="Выделенная цитата"/>
    <w:basedOn w:val="759"/>
    <w:next w:val="759"/>
    <w:link w:val="7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9">
    <w:name w:val="Выделенная цитата Знак"/>
    <w:next w:val="789"/>
    <w:link w:val="788"/>
    <w:uiPriority w:val="30"/>
    <w:rPr>
      <w:i/>
    </w:rPr>
  </w:style>
  <w:style w:type="paragraph" w:styleId="790">
    <w:name w:val="Верхний колонтитул"/>
    <w:basedOn w:val="759"/>
    <w:next w:val="790"/>
    <w:link w:val="7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1">
    <w:name w:val="Верхний колонтитул Знак"/>
    <w:basedOn w:val="769"/>
    <w:next w:val="791"/>
    <w:link w:val="790"/>
    <w:uiPriority w:val="99"/>
  </w:style>
  <w:style w:type="paragraph" w:styleId="792">
    <w:name w:val="Нижний колонтитул"/>
    <w:basedOn w:val="759"/>
    <w:next w:val="792"/>
    <w:link w:val="7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3">
    <w:name w:val="Footer Char"/>
    <w:basedOn w:val="769"/>
    <w:next w:val="793"/>
    <w:link w:val="759"/>
    <w:uiPriority w:val="99"/>
  </w:style>
  <w:style w:type="paragraph" w:styleId="794">
    <w:name w:val="Название объекта"/>
    <w:basedOn w:val="759"/>
    <w:next w:val="759"/>
    <w:link w:val="75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95">
    <w:name w:val="Нижний колонтитул Знак"/>
    <w:next w:val="795"/>
    <w:link w:val="792"/>
    <w:uiPriority w:val="99"/>
  </w:style>
  <w:style w:type="table" w:styleId="796">
    <w:name w:val="Table Grid Light"/>
    <w:basedOn w:val="770"/>
    <w:next w:val="796"/>
    <w:link w:val="759"/>
    <w:uiPriority w:val="59"/>
    <w:pPr>
      <w:spacing w:after="0" w:line="240" w:lineRule="auto"/>
    </w:pPr>
    <w:tblPr/>
  </w:style>
  <w:style w:type="table" w:styleId="797">
    <w:name w:val="Таблица простая 1"/>
    <w:basedOn w:val="770"/>
    <w:next w:val="797"/>
    <w:link w:val="759"/>
    <w:uiPriority w:val="59"/>
    <w:pPr>
      <w:spacing w:after="0" w:line="240" w:lineRule="auto"/>
    </w:pPr>
    <w:tblPr/>
  </w:style>
  <w:style w:type="table" w:styleId="798">
    <w:name w:val="Таблица простая 2"/>
    <w:basedOn w:val="770"/>
    <w:next w:val="798"/>
    <w:link w:val="759"/>
    <w:uiPriority w:val="59"/>
    <w:pPr>
      <w:spacing w:after="0" w:line="240" w:lineRule="auto"/>
    </w:pPr>
    <w:tblPr/>
  </w:style>
  <w:style w:type="table" w:styleId="799">
    <w:name w:val="Таблица простая 3"/>
    <w:basedOn w:val="770"/>
    <w:next w:val="799"/>
    <w:link w:val="759"/>
    <w:uiPriority w:val="99"/>
    <w:pPr>
      <w:spacing w:after="0" w:line="240" w:lineRule="auto"/>
    </w:pPr>
    <w:tblPr/>
  </w:style>
  <w:style w:type="table" w:styleId="800">
    <w:name w:val="Таблица простая 4"/>
    <w:basedOn w:val="770"/>
    <w:next w:val="800"/>
    <w:link w:val="759"/>
    <w:uiPriority w:val="99"/>
    <w:pPr>
      <w:spacing w:after="0" w:line="240" w:lineRule="auto"/>
    </w:pPr>
    <w:tblPr/>
  </w:style>
  <w:style w:type="table" w:styleId="801">
    <w:name w:val="Таблица простая 5"/>
    <w:basedOn w:val="770"/>
    <w:next w:val="801"/>
    <w:link w:val="759"/>
    <w:uiPriority w:val="99"/>
    <w:pPr>
      <w:spacing w:after="0" w:line="240" w:lineRule="auto"/>
    </w:pPr>
    <w:tblPr/>
  </w:style>
  <w:style w:type="table" w:styleId="802">
    <w:name w:val="Таблица-сетка 1 светлая"/>
    <w:basedOn w:val="770"/>
    <w:next w:val="802"/>
    <w:link w:val="759"/>
    <w:uiPriority w:val="99"/>
    <w:pPr>
      <w:spacing w:after="0" w:line="240" w:lineRule="auto"/>
    </w:pPr>
    <w:tblPr/>
  </w:style>
  <w:style w:type="table" w:styleId="803">
    <w:name w:val="Grid Table 1 Light - Accent 1"/>
    <w:basedOn w:val="770"/>
    <w:next w:val="803"/>
    <w:link w:val="759"/>
    <w:uiPriority w:val="99"/>
    <w:pPr>
      <w:spacing w:after="0" w:line="240" w:lineRule="auto"/>
    </w:pPr>
    <w:tblPr/>
  </w:style>
  <w:style w:type="table" w:styleId="804">
    <w:name w:val="Grid Table 1 Light - Accent 2"/>
    <w:basedOn w:val="770"/>
    <w:next w:val="804"/>
    <w:link w:val="759"/>
    <w:uiPriority w:val="99"/>
    <w:pPr>
      <w:spacing w:after="0" w:line="240" w:lineRule="auto"/>
    </w:pPr>
    <w:tblPr/>
  </w:style>
  <w:style w:type="table" w:styleId="805">
    <w:name w:val="Grid Table 1 Light - Accent 3"/>
    <w:basedOn w:val="770"/>
    <w:next w:val="805"/>
    <w:link w:val="759"/>
    <w:uiPriority w:val="99"/>
    <w:pPr>
      <w:spacing w:after="0" w:line="240" w:lineRule="auto"/>
    </w:pPr>
    <w:tblPr/>
  </w:style>
  <w:style w:type="table" w:styleId="806">
    <w:name w:val="Grid Table 1 Light - Accent 4"/>
    <w:basedOn w:val="770"/>
    <w:next w:val="806"/>
    <w:link w:val="759"/>
    <w:uiPriority w:val="99"/>
    <w:pPr>
      <w:spacing w:after="0" w:line="240" w:lineRule="auto"/>
    </w:pPr>
    <w:tblPr/>
  </w:style>
  <w:style w:type="table" w:styleId="807">
    <w:name w:val="Grid Table 1 Light - Accent 5"/>
    <w:basedOn w:val="770"/>
    <w:next w:val="807"/>
    <w:link w:val="759"/>
    <w:uiPriority w:val="99"/>
    <w:pPr>
      <w:spacing w:after="0" w:line="240" w:lineRule="auto"/>
    </w:pPr>
    <w:tblPr/>
  </w:style>
  <w:style w:type="table" w:styleId="808">
    <w:name w:val="Grid Table 1 Light - Accent 6"/>
    <w:basedOn w:val="770"/>
    <w:next w:val="808"/>
    <w:link w:val="759"/>
    <w:uiPriority w:val="99"/>
    <w:pPr>
      <w:spacing w:after="0" w:line="240" w:lineRule="auto"/>
    </w:pPr>
    <w:tblPr/>
  </w:style>
  <w:style w:type="table" w:styleId="809">
    <w:name w:val="Таблица-сетка 2"/>
    <w:basedOn w:val="770"/>
    <w:next w:val="809"/>
    <w:link w:val="759"/>
    <w:uiPriority w:val="99"/>
    <w:pPr>
      <w:spacing w:after="0" w:line="240" w:lineRule="auto"/>
    </w:pPr>
    <w:tblPr/>
  </w:style>
  <w:style w:type="table" w:styleId="810">
    <w:name w:val="Grid Table 2 - Accent 1"/>
    <w:basedOn w:val="770"/>
    <w:next w:val="810"/>
    <w:link w:val="759"/>
    <w:uiPriority w:val="99"/>
    <w:pPr>
      <w:spacing w:after="0" w:line="240" w:lineRule="auto"/>
    </w:pPr>
    <w:tblPr/>
  </w:style>
  <w:style w:type="table" w:styleId="811">
    <w:name w:val="Grid Table 2 - Accent 2"/>
    <w:basedOn w:val="770"/>
    <w:next w:val="811"/>
    <w:link w:val="759"/>
    <w:uiPriority w:val="99"/>
    <w:pPr>
      <w:spacing w:after="0" w:line="240" w:lineRule="auto"/>
    </w:pPr>
    <w:tblPr/>
  </w:style>
  <w:style w:type="table" w:styleId="812">
    <w:name w:val="Grid Table 2 - Accent 3"/>
    <w:basedOn w:val="770"/>
    <w:next w:val="812"/>
    <w:link w:val="759"/>
    <w:uiPriority w:val="99"/>
    <w:pPr>
      <w:spacing w:after="0" w:line="240" w:lineRule="auto"/>
    </w:pPr>
    <w:tblPr/>
  </w:style>
  <w:style w:type="table" w:styleId="813">
    <w:name w:val="Grid Table 2 - Accent 4"/>
    <w:basedOn w:val="770"/>
    <w:next w:val="813"/>
    <w:link w:val="759"/>
    <w:uiPriority w:val="99"/>
    <w:pPr>
      <w:spacing w:after="0" w:line="240" w:lineRule="auto"/>
    </w:pPr>
    <w:tblPr/>
  </w:style>
  <w:style w:type="table" w:styleId="814">
    <w:name w:val="Grid Table 2 - Accent 5"/>
    <w:basedOn w:val="770"/>
    <w:next w:val="814"/>
    <w:link w:val="759"/>
    <w:uiPriority w:val="99"/>
    <w:pPr>
      <w:spacing w:after="0" w:line="240" w:lineRule="auto"/>
    </w:pPr>
    <w:tblPr/>
  </w:style>
  <w:style w:type="table" w:styleId="815">
    <w:name w:val="Grid Table 2 - Accent 6"/>
    <w:basedOn w:val="770"/>
    <w:next w:val="815"/>
    <w:link w:val="759"/>
    <w:uiPriority w:val="99"/>
    <w:pPr>
      <w:spacing w:after="0" w:line="240" w:lineRule="auto"/>
    </w:pPr>
    <w:tblPr/>
  </w:style>
  <w:style w:type="table" w:styleId="816">
    <w:name w:val="Таблица-сетка 3"/>
    <w:basedOn w:val="770"/>
    <w:next w:val="816"/>
    <w:link w:val="759"/>
    <w:uiPriority w:val="99"/>
    <w:pPr>
      <w:spacing w:after="0" w:line="240" w:lineRule="auto"/>
    </w:pPr>
    <w:tblPr/>
  </w:style>
  <w:style w:type="table" w:styleId="817">
    <w:name w:val="Grid Table 3 - Accent 1"/>
    <w:basedOn w:val="770"/>
    <w:next w:val="817"/>
    <w:link w:val="759"/>
    <w:uiPriority w:val="99"/>
    <w:pPr>
      <w:spacing w:after="0" w:line="240" w:lineRule="auto"/>
    </w:pPr>
    <w:tblPr/>
  </w:style>
  <w:style w:type="table" w:styleId="818">
    <w:name w:val="Grid Table 3 - Accent 2"/>
    <w:basedOn w:val="770"/>
    <w:next w:val="818"/>
    <w:link w:val="759"/>
    <w:uiPriority w:val="99"/>
    <w:pPr>
      <w:spacing w:after="0" w:line="240" w:lineRule="auto"/>
    </w:pPr>
    <w:tblPr/>
  </w:style>
  <w:style w:type="table" w:styleId="819">
    <w:name w:val="Grid Table 3 - Accent 3"/>
    <w:basedOn w:val="770"/>
    <w:next w:val="819"/>
    <w:link w:val="759"/>
    <w:uiPriority w:val="99"/>
    <w:pPr>
      <w:spacing w:after="0" w:line="240" w:lineRule="auto"/>
    </w:pPr>
    <w:tblPr/>
  </w:style>
  <w:style w:type="table" w:styleId="820">
    <w:name w:val="Grid Table 3 - Accent 4"/>
    <w:basedOn w:val="770"/>
    <w:next w:val="820"/>
    <w:link w:val="759"/>
    <w:uiPriority w:val="99"/>
    <w:pPr>
      <w:spacing w:after="0" w:line="240" w:lineRule="auto"/>
    </w:pPr>
    <w:tblPr/>
  </w:style>
  <w:style w:type="table" w:styleId="821">
    <w:name w:val="Grid Table 3 - Accent 5"/>
    <w:basedOn w:val="770"/>
    <w:next w:val="821"/>
    <w:link w:val="759"/>
    <w:uiPriority w:val="99"/>
    <w:pPr>
      <w:spacing w:after="0" w:line="240" w:lineRule="auto"/>
    </w:pPr>
    <w:tblPr/>
  </w:style>
  <w:style w:type="table" w:styleId="822">
    <w:name w:val="Grid Table 3 - Accent 6"/>
    <w:basedOn w:val="770"/>
    <w:next w:val="822"/>
    <w:link w:val="759"/>
    <w:uiPriority w:val="99"/>
    <w:pPr>
      <w:spacing w:after="0" w:line="240" w:lineRule="auto"/>
    </w:pPr>
    <w:tblPr/>
  </w:style>
  <w:style w:type="table" w:styleId="823">
    <w:name w:val="Таблица-сетка 4"/>
    <w:basedOn w:val="770"/>
    <w:next w:val="823"/>
    <w:link w:val="759"/>
    <w:uiPriority w:val="59"/>
    <w:pPr>
      <w:spacing w:after="0" w:line="240" w:lineRule="auto"/>
    </w:pPr>
    <w:tblPr/>
  </w:style>
  <w:style w:type="table" w:styleId="824">
    <w:name w:val="Grid Table 4 - Accent 1"/>
    <w:basedOn w:val="770"/>
    <w:next w:val="824"/>
    <w:link w:val="759"/>
    <w:uiPriority w:val="59"/>
    <w:pPr>
      <w:spacing w:after="0" w:line="240" w:lineRule="auto"/>
    </w:pPr>
    <w:tblPr/>
  </w:style>
  <w:style w:type="table" w:styleId="825">
    <w:name w:val="Grid Table 4 - Accent 2"/>
    <w:basedOn w:val="770"/>
    <w:next w:val="825"/>
    <w:link w:val="759"/>
    <w:uiPriority w:val="59"/>
    <w:pPr>
      <w:spacing w:after="0" w:line="240" w:lineRule="auto"/>
    </w:pPr>
    <w:tblPr/>
  </w:style>
  <w:style w:type="table" w:styleId="826">
    <w:name w:val="Grid Table 4 - Accent 3"/>
    <w:basedOn w:val="770"/>
    <w:next w:val="826"/>
    <w:link w:val="759"/>
    <w:uiPriority w:val="59"/>
    <w:pPr>
      <w:spacing w:after="0" w:line="240" w:lineRule="auto"/>
    </w:pPr>
    <w:tblPr/>
  </w:style>
  <w:style w:type="table" w:styleId="827">
    <w:name w:val="Grid Table 4 - Accent 4"/>
    <w:basedOn w:val="770"/>
    <w:next w:val="827"/>
    <w:link w:val="759"/>
    <w:uiPriority w:val="59"/>
    <w:pPr>
      <w:spacing w:after="0" w:line="240" w:lineRule="auto"/>
    </w:pPr>
    <w:tblPr/>
  </w:style>
  <w:style w:type="table" w:styleId="828">
    <w:name w:val="Grid Table 4 - Accent 5"/>
    <w:basedOn w:val="770"/>
    <w:next w:val="828"/>
    <w:link w:val="759"/>
    <w:uiPriority w:val="59"/>
    <w:pPr>
      <w:spacing w:after="0" w:line="240" w:lineRule="auto"/>
    </w:pPr>
    <w:tblPr/>
  </w:style>
  <w:style w:type="table" w:styleId="829">
    <w:name w:val="Grid Table 4 - Accent 6"/>
    <w:basedOn w:val="770"/>
    <w:next w:val="829"/>
    <w:link w:val="759"/>
    <w:uiPriority w:val="59"/>
    <w:pPr>
      <w:spacing w:after="0" w:line="240" w:lineRule="auto"/>
    </w:pPr>
    <w:tblPr/>
  </w:style>
  <w:style w:type="table" w:styleId="830">
    <w:name w:val="Таблица-сетка 5 темная"/>
    <w:basedOn w:val="770"/>
    <w:next w:val="830"/>
    <w:link w:val="759"/>
    <w:uiPriority w:val="99"/>
    <w:pPr>
      <w:spacing w:after="0" w:line="240" w:lineRule="auto"/>
    </w:pPr>
    <w:tblPr/>
  </w:style>
  <w:style w:type="table" w:styleId="831">
    <w:name w:val="Grid Table 5 Dark- Accent 1"/>
    <w:basedOn w:val="770"/>
    <w:next w:val="831"/>
    <w:link w:val="759"/>
    <w:uiPriority w:val="99"/>
    <w:pPr>
      <w:spacing w:after="0" w:line="240" w:lineRule="auto"/>
    </w:pPr>
    <w:tblPr/>
  </w:style>
  <w:style w:type="table" w:styleId="832">
    <w:name w:val="Grid Table 5 Dark - Accent 2"/>
    <w:basedOn w:val="770"/>
    <w:next w:val="832"/>
    <w:link w:val="759"/>
    <w:uiPriority w:val="99"/>
    <w:pPr>
      <w:spacing w:after="0" w:line="240" w:lineRule="auto"/>
    </w:pPr>
    <w:tblPr/>
  </w:style>
  <w:style w:type="table" w:styleId="833">
    <w:name w:val="Grid Table 5 Dark - Accent 3"/>
    <w:basedOn w:val="770"/>
    <w:next w:val="833"/>
    <w:link w:val="759"/>
    <w:uiPriority w:val="99"/>
    <w:pPr>
      <w:spacing w:after="0" w:line="240" w:lineRule="auto"/>
    </w:pPr>
    <w:tblPr/>
  </w:style>
  <w:style w:type="table" w:styleId="834">
    <w:name w:val="Grid Table 5 Dark- Accent 4"/>
    <w:basedOn w:val="770"/>
    <w:next w:val="834"/>
    <w:link w:val="759"/>
    <w:uiPriority w:val="99"/>
    <w:pPr>
      <w:spacing w:after="0" w:line="240" w:lineRule="auto"/>
    </w:pPr>
    <w:tblPr/>
  </w:style>
  <w:style w:type="table" w:styleId="835">
    <w:name w:val="Grid Table 5 Dark - Accent 5"/>
    <w:basedOn w:val="770"/>
    <w:next w:val="835"/>
    <w:link w:val="759"/>
    <w:uiPriority w:val="99"/>
    <w:pPr>
      <w:spacing w:after="0" w:line="240" w:lineRule="auto"/>
    </w:pPr>
    <w:tblPr/>
  </w:style>
  <w:style w:type="table" w:styleId="836">
    <w:name w:val="Grid Table 5 Dark - Accent 6"/>
    <w:basedOn w:val="770"/>
    <w:next w:val="836"/>
    <w:link w:val="759"/>
    <w:uiPriority w:val="99"/>
    <w:pPr>
      <w:spacing w:after="0" w:line="240" w:lineRule="auto"/>
    </w:pPr>
    <w:tblPr/>
  </w:style>
  <w:style w:type="table" w:styleId="837">
    <w:name w:val="Таблица-сетка 6 цветная"/>
    <w:basedOn w:val="770"/>
    <w:next w:val="837"/>
    <w:link w:val="759"/>
    <w:uiPriority w:val="99"/>
    <w:pPr>
      <w:spacing w:after="0" w:line="240" w:lineRule="auto"/>
    </w:pPr>
    <w:tblPr/>
  </w:style>
  <w:style w:type="table" w:styleId="838">
    <w:name w:val="Grid Table 6 Colorful - Accent 1"/>
    <w:basedOn w:val="770"/>
    <w:next w:val="838"/>
    <w:link w:val="759"/>
    <w:uiPriority w:val="99"/>
    <w:pPr>
      <w:spacing w:after="0" w:line="240" w:lineRule="auto"/>
    </w:pPr>
    <w:tblPr/>
  </w:style>
  <w:style w:type="table" w:styleId="839">
    <w:name w:val="Grid Table 6 Colorful - Accent 2"/>
    <w:basedOn w:val="770"/>
    <w:next w:val="839"/>
    <w:link w:val="759"/>
    <w:uiPriority w:val="99"/>
    <w:pPr>
      <w:spacing w:after="0" w:line="240" w:lineRule="auto"/>
    </w:pPr>
    <w:tblPr/>
  </w:style>
  <w:style w:type="table" w:styleId="840">
    <w:name w:val="Grid Table 6 Colorful - Accent 3"/>
    <w:basedOn w:val="770"/>
    <w:next w:val="840"/>
    <w:link w:val="759"/>
    <w:uiPriority w:val="99"/>
    <w:pPr>
      <w:spacing w:after="0" w:line="240" w:lineRule="auto"/>
    </w:pPr>
    <w:tblPr/>
  </w:style>
  <w:style w:type="table" w:styleId="841">
    <w:name w:val="Grid Table 6 Colorful - Accent 4"/>
    <w:basedOn w:val="770"/>
    <w:next w:val="841"/>
    <w:link w:val="759"/>
    <w:uiPriority w:val="99"/>
    <w:pPr>
      <w:spacing w:after="0" w:line="240" w:lineRule="auto"/>
    </w:pPr>
    <w:tblPr/>
  </w:style>
  <w:style w:type="table" w:styleId="842">
    <w:name w:val="Grid Table 6 Colorful - Accent 5"/>
    <w:basedOn w:val="770"/>
    <w:next w:val="842"/>
    <w:link w:val="759"/>
    <w:uiPriority w:val="99"/>
    <w:pPr>
      <w:spacing w:after="0" w:line="240" w:lineRule="auto"/>
    </w:pPr>
    <w:tblPr/>
  </w:style>
  <w:style w:type="table" w:styleId="843">
    <w:name w:val="Grid Table 6 Colorful - Accent 6"/>
    <w:basedOn w:val="770"/>
    <w:next w:val="843"/>
    <w:link w:val="759"/>
    <w:uiPriority w:val="99"/>
    <w:pPr>
      <w:spacing w:after="0" w:line="240" w:lineRule="auto"/>
    </w:pPr>
    <w:tblPr/>
  </w:style>
  <w:style w:type="table" w:styleId="844">
    <w:name w:val="Таблица-сетка 7 цветная"/>
    <w:basedOn w:val="770"/>
    <w:next w:val="844"/>
    <w:link w:val="759"/>
    <w:uiPriority w:val="99"/>
    <w:pPr>
      <w:spacing w:after="0" w:line="240" w:lineRule="auto"/>
    </w:pPr>
    <w:tblPr/>
  </w:style>
  <w:style w:type="table" w:styleId="845">
    <w:name w:val="Grid Table 7 Colorful - Accent 1"/>
    <w:basedOn w:val="770"/>
    <w:next w:val="845"/>
    <w:link w:val="759"/>
    <w:uiPriority w:val="99"/>
    <w:pPr>
      <w:spacing w:after="0" w:line="240" w:lineRule="auto"/>
    </w:pPr>
    <w:tblPr/>
  </w:style>
  <w:style w:type="table" w:styleId="846">
    <w:name w:val="Grid Table 7 Colorful - Accent 2"/>
    <w:basedOn w:val="770"/>
    <w:next w:val="846"/>
    <w:link w:val="759"/>
    <w:uiPriority w:val="99"/>
    <w:pPr>
      <w:spacing w:after="0" w:line="240" w:lineRule="auto"/>
    </w:pPr>
    <w:tblPr/>
  </w:style>
  <w:style w:type="table" w:styleId="847">
    <w:name w:val="Grid Table 7 Colorful - Accent 3"/>
    <w:basedOn w:val="770"/>
    <w:next w:val="847"/>
    <w:link w:val="759"/>
    <w:uiPriority w:val="99"/>
    <w:pPr>
      <w:spacing w:after="0" w:line="240" w:lineRule="auto"/>
    </w:pPr>
    <w:tblPr/>
  </w:style>
  <w:style w:type="table" w:styleId="848">
    <w:name w:val="Grid Table 7 Colorful - Accent 4"/>
    <w:basedOn w:val="770"/>
    <w:next w:val="848"/>
    <w:link w:val="759"/>
    <w:uiPriority w:val="99"/>
    <w:pPr>
      <w:spacing w:after="0" w:line="240" w:lineRule="auto"/>
    </w:pPr>
    <w:tblPr/>
  </w:style>
  <w:style w:type="table" w:styleId="849">
    <w:name w:val="Grid Table 7 Colorful - Accent 5"/>
    <w:basedOn w:val="770"/>
    <w:next w:val="849"/>
    <w:link w:val="759"/>
    <w:uiPriority w:val="99"/>
    <w:pPr>
      <w:spacing w:after="0" w:line="240" w:lineRule="auto"/>
    </w:pPr>
    <w:tblPr/>
  </w:style>
  <w:style w:type="table" w:styleId="850">
    <w:name w:val="Grid Table 7 Colorful - Accent 6"/>
    <w:basedOn w:val="770"/>
    <w:next w:val="850"/>
    <w:link w:val="759"/>
    <w:uiPriority w:val="99"/>
    <w:pPr>
      <w:spacing w:after="0" w:line="240" w:lineRule="auto"/>
    </w:pPr>
    <w:tblPr/>
  </w:style>
  <w:style w:type="table" w:styleId="851">
    <w:name w:val="Список-таблица 1 светлая"/>
    <w:basedOn w:val="770"/>
    <w:next w:val="851"/>
    <w:link w:val="759"/>
    <w:uiPriority w:val="99"/>
    <w:pPr>
      <w:spacing w:after="0" w:line="240" w:lineRule="auto"/>
    </w:pPr>
    <w:tblPr/>
  </w:style>
  <w:style w:type="table" w:styleId="852">
    <w:name w:val="List Table 1 Light - Accent 1"/>
    <w:basedOn w:val="770"/>
    <w:next w:val="852"/>
    <w:link w:val="759"/>
    <w:uiPriority w:val="99"/>
    <w:pPr>
      <w:spacing w:after="0" w:line="240" w:lineRule="auto"/>
    </w:pPr>
    <w:tblPr/>
  </w:style>
  <w:style w:type="table" w:styleId="853">
    <w:name w:val="List Table 1 Light - Accent 2"/>
    <w:basedOn w:val="770"/>
    <w:next w:val="853"/>
    <w:link w:val="759"/>
    <w:uiPriority w:val="99"/>
    <w:pPr>
      <w:spacing w:after="0" w:line="240" w:lineRule="auto"/>
    </w:pPr>
    <w:tblPr/>
  </w:style>
  <w:style w:type="table" w:styleId="854">
    <w:name w:val="List Table 1 Light - Accent 3"/>
    <w:basedOn w:val="770"/>
    <w:next w:val="854"/>
    <w:link w:val="759"/>
    <w:uiPriority w:val="99"/>
    <w:pPr>
      <w:spacing w:after="0" w:line="240" w:lineRule="auto"/>
    </w:pPr>
    <w:tblPr/>
  </w:style>
  <w:style w:type="table" w:styleId="855">
    <w:name w:val="List Table 1 Light - Accent 4"/>
    <w:basedOn w:val="770"/>
    <w:next w:val="855"/>
    <w:link w:val="759"/>
    <w:uiPriority w:val="99"/>
    <w:pPr>
      <w:spacing w:after="0" w:line="240" w:lineRule="auto"/>
    </w:pPr>
    <w:tblPr/>
  </w:style>
  <w:style w:type="table" w:styleId="856">
    <w:name w:val="List Table 1 Light - Accent 5"/>
    <w:basedOn w:val="770"/>
    <w:next w:val="856"/>
    <w:link w:val="759"/>
    <w:uiPriority w:val="99"/>
    <w:pPr>
      <w:spacing w:after="0" w:line="240" w:lineRule="auto"/>
    </w:pPr>
    <w:tblPr/>
  </w:style>
  <w:style w:type="table" w:styleId="857">
    <w:name w:val="List Table 1 Light - Accent 6"/>
    <w:basedOn w:val="770"/>
    <w:next w:val="857"/>
    <w:link w:val="759"/>
    <w:uiPriority w:val="99"/>
    <w:pPr>
      <w:spacing w:after="0" w:line="240" w:lineRule="auto"/>
    </w:pPr>
    <w:tblPr/>
  </w:style>
  <w:style w:type="table" w:styleId="858">
    <w:name w:val="Список-таблица 2"/>
    <w:basedOn w:val="770"/>
    <w:next w:val="858"/>
    <w:link w:val="759"/>
    <w:uiPriority w:val="99"/>
    <w:pPr>
      <w:spacing w:after="0" w:line="240" w:lineRule="auto"/>
    </w:pPr>
    <w:tblPr/>
  </w:style>
  <w:style w:type="table" w:styleId="859">
    <w:name w:val="List Table 2 - Accent 1"/>
    <w:basedOn w:val="770"/>
    <w:next w:val="859"/>
    <w:link w:val="759"/>
    <w:uiPriority w:val="99"/>
    <w:pPr>
      <w:spacing w:after="0" w:line="240" w:lineRule="auto"/>
    </w:pPr>
    <w:tblPr/>
  </w:style>
  <w:style w:type="table" w:styleId="860">
    <w:name w:val="List Table 2 - Accent 2"/>
    <w:basedOn w:val="770"/>
    <w:next w:val="860"/>
    <w:link w:val="759"/>
    <w:uiPriority w:val="99"/>
    <w:pPr>
      <w:spacing w:after="0" w:line="240" w:lineRule="auto"/>
    </w:pPr>
    <w:tblPr/>
  </w:style>
  <w:style w:type="table" w:styleId="861">
    <w:name w:val="List Table 2 - Accent 3"/>
    <w:basedOn w:val="770"/>
    <w:next w:val="861"/>
    <w:link w:val="759"/>
    <w:uiPriority w:val="99"/>
    <w:pPr>
      <w:spacing w:after="0" w:line="240" w:lineRule="auto"/>
    </w:pPr>
    <w:tblPr/>
  </w:style>
  <w:style w:type="table" w:styleId="862">
    <w:name w:val="List Table 2 - Accent 4"/>
    <w:basedOn w:val="770"/>
    <w:next w:val="862"/>
    <w:link w:val="759"/>
    <w:uiPriority w:val="99"/>
    <w:pPr>
      <w:spacing w:after="0" w:line="240" w:lineRule="auto"/>
    </w:pPr>
    <w:tblPr/>
  </w:style>
  <w:style w:type="table" w:styleId="863">
    <w:name w:val="List Table 2 - Accent 5"/>
    <w:basedOn w:val="770"/>
    <w:next w:val="863"/>
    <w:link w:val="759"/>
    <w:uiPriority w:val="99"/>
    <w:pPr>
      <w:spacing w:after="0" w:line="240" w:lineRule="auto"/>
    </w:pPr>
    <w:tblPr/>
  </w:style>
  <w:style w:type="table" w:styleId="864">
    <w:name w:val="List Table 2 - Accent 6"/>
    <w:basedOn w:val="770"/>
    <w:next w:val="864"/>
    <w:link w:val="759"/>
    <w:uiPriority w:val="99"/>
    <w:pPr>
      <w:spacing w:after="0" w:line="240" w:lineRule="auto"/>
    </w:pPr>
    <w:tblPr/>
  </w:style>
  <w:style w:type="table" w:styleId="865">
    <w:name w:val="Список-таблица 3"/>
    <w:basedOn w:val="770"/>
    <w:next w:val="865"/>
    <w:link w:val="759"/>
    <w:uiPriority w:val="99"/>
    <w:pPr>
      <w:spacing w:after="0" w:line="240" w:lineRule="auto"/>
    </w:pPr>
    <w:tblPr/>
  </w:style>
  <w:style w:type="table" w:styleId="866">
    <w:name w:val="List Table 3 - Accent 1"/>
    <w:basedOn w:val="770"/>
    <w:next w:val="866"/>
    <w:link w:val="759"/>
    <w:uiPriority w:val="99"/>
    <w:pPr>
      <w:spacing w:after="0" w:line="240" w:lineRule="auto"/>
    </w:pPr>
    <w:tblPr/>
  </w:style>
  <w:style w:type="table" w:styleId="867">
    <w:name w:val="List Table 3 - Accent 2"/>
    <w:basedOn w:val="770"/>
    <w:next w:val="867"/>
    <w:link w:val="759"/>
    <w:uiPriority w:val="99"/>
    <w:pPr>
      <w:spacing w:after="0" w:line="240" w:lineRule="auto"/>
    </w:pPr>
    <w:tblPr/>
  </w:style>
  <w:style w:type="table" w:styleId="868">
    <w:name w:val="List Table 3 - Accent 3"/>
    <w:basedOn w:val="770"/>
    <w:next w:val="868"/>
    <w:link w:val="759"/>
    <w:uiPriority w:val="99"/>
    <w:pPr>
      <w:spacing w:after="0" w:line="240" w:lineRule="auto"/>
    </w:pPr>
    <w:tblPr/>
  </w:style>
  <w:style w:type="table" w:styleId="869">
    <w:name w:val="List Table 3 - Accent 4"/>
    <w:basedOn w:val="770"/>
    <w:next w:val="869"/>
    <w:link w:val="759"/>
    <w:uiPriority w:val="99"/>
    <w:pPr>
      <w:spacing w:after="0" w:line="240" w:lineRule="auto"/>
    </w:pPr>
    <w:tblPr/>
  </w:style>
  <w:style w:type="table" w:styleId="870">
    <w:name w:val="List Table 3 - Accent 5"/>
    <w:basedOn w:val="770"/>
    <w:next w:val="870"/>
    <w:link w:val="759"/>
    <w:uiPriority w:val="99"/>
    <w:pPr>
      <w:spacing w:after="0" w:line="240" w:lineRule="auto"/>
    </w:pPr>
    <w:tblPr/>
  </w:style>
  <w:style w:type="table" w:styleId="871">
    <w:name w:val="List Table 3 - Accent 6"/>
    <w:basedOn w:val="770"/>
    <w:next w:val="871"/>
    <w:link w:val="759"/>
    <w:uiPriority w:val="99"/>
    <w:pPr>
      <w:spacing w:after="0" w:line="240" w:lineRule="auto"/>
    </w:pPr>
    <w:tblPr/>
  </w:style>
  <w:style w:type="table" w:styleId="872">
    <w:name w:val="Список-таблица 4"/>
    <w:basedOn w:val="770"/>
    <w:next w:val="872"/>
    <w:link w:val="759"/>
    <w:uiPriority w:val="99"/>
    <w:pPr>
      <w:spacing w:after="0" w:line="240" w:lineRule="auto"/>
    </w:pPr>
    <w:tblPr/>
  </w:style>
  <w:style w:type="table" w:styleId="873">
    <w:name w:val="List Table 4 - Accent 1"/>
    <w:basedOn w:val="770"/>
    <w:next w:val="873"/>
    <w:link w:val="759"/>
    <w:uiPriority w:val="99"/>
    <w:pPr>
      <w:spacing w:after="0" w:line="240" w:lineRule="auto"/>
    </w:pPr>
    <w:tblPr/>
  </w:style>
  <w:style w:type="table" w:styleId="874">
    <w:name w:val="List Table 4 - Accent 2"/>
    <w:basedOn w:val="770"/>
    <w:next w:val="874"/>
    <w:link w:val="759"/>
    <w:uiPriority w:val="99"/>
    <w:pPr>
      <w:spacing w:after="0" w:line="240" w:lineRule="auto"/>
    </w:pPr>
    <w:tblPr/>
  </w:style>
  <w:style w:type="table" w:styleId="875">
    <w:name w:val="List Table 4 - Accent 3"/>
    <w:basedOn w:val="770"/>
    <w:next w:val="875"/>
    <w:link w:val="759"/>
    <w:uiPriority w:val="99"/>
    <w:pPr>
      <w:spacing w:after="0" w:line="240" w:lineRule="auto"/>
    </w:pPr>
    <w:tblPr/>
  </w:style>
  <w:style w:type="table" w:styleId="876">
    <w:name w:val="List Table 4 - Accent 4"/>
    <w:basedOn w:val="770"/>
    <w:next w:val="876"/>
    <w:link w:val="759"/>
    <w:uiPriority w:val="99"/>
    <w:pPr>
      <w:spacing w:after="0" w:line="240" w:lineRule="auto"/>
    </w:pPr>
    <w:tblPr/>
  </w:style>
  <w:style w:type="table" w:styleId="877">
    <w:name w:val="List Table 4 - Accent 5"/>
    <w:basedOn w:val="770"/>
    <w:next w:val="877"/>
    <w:link w:val="759"/>
    <w:uiPriority w:val="99"/>
    <w:pPr>
      <w:spacing w:after="0" w:line="240" w:lineRule="auto"/>
    </w:pPr>
    <w:tblPr/>
  </w:style>
  <w:style w:type="table" w:styleId="878">
    <w:name w:val="List Table 4 - Accent 6"/>
    <w:basedOn w:val="770"/>
    <w:next w:val="878"/>
    <w:link w:val="759"/>
    <w:uiPriority w:val="99"/>
    <w:pPr>
      <w:spacing w:after="0" w:line="240" w:lineRule="auto"/>
    </w:pPr>
    <w:tblPr/>
  </w:style>
  <w:style w:type="table" w:styleId="879">
    <w:name w:val="Список-таблица 5 темная"/>
    <w:basedOn w:val="770"/>
    <w:next w:val="879"/>
    <w:link w:val="759"/>
    <w:uiPriority w:val="99"/>
    <w:pPr>
      <w:spacing w:after="0" w:line="240" w:lineRule="auto"/>
    </w:pPr>
    <w:tblPr/>
  </w:style>
  <w:style w:type="table" w:styleId="880">
    <w:name w:val="List Table 5 Dark - Accent 1"/>
    <w:basedOn w:val="770"/>
    <w:next w:val="880"/>
    <w:link w:val="759"/>
    <w:uiPriority w:val="99"/>
    <w:pPr>
      <w:spacing w:after="0" w:line="240" w:lineRule="auto"/>
    </w:pPr>
    <w:tblPr/>
  </w:style>
  <w:style w:type="table" w:styleId="881">
    <w:name w:val="List Table 5 Dark - Accent 2"/>
    <w:basedOn w:val="770"/>
    <w:next w:val="881"/>
    <w:link w:val="759"/>
    <w:uiPriority w:val="99"/>
    <w:pPr>
      <w:spacing w:after="0" w:line="240" w:lineRule="auto"/>
    </w:pPr>
    <w:tblPr/>
  </w:style>
  <w:style w:type="table" w:styleId="882">
    <w:name w:val="List Table 5 Dark - Accent 3"/>
    <w:basedOn w:val="770"/>
    <w:next w:val="882"/>
    <w:link w:val="759"/>
    <w:uiPriority w:val="99"/>
    <w:pPr>
      <w:spacing w:after="0" w:line="240" w:lineRule="auto"/>
    </w:pPr>
    <w:tblPr/>
  </w:style>
  <w:style w:type="table" w:styleId="883">
    <w:name w:val="List Table 5 Dark - Accent 4"/>
    <w:basedOn w:val="770"/>
    <w:next w:val="883"/>
    <w:link w:val="759"/>
    <w:uiPriority w:val="99"/>
    <w:pPr>
      <w:spacing w:after="0" w:line="240" w:lineRule="auto"/>
    </w:pPr>
    <w:tblPr/>
  </w:style>
  <w:style w:type="table" w:styleId="884">
    <w:name w:val="List Table 5 Dark - Accent 5"/>
    <w:basedOn w:val="770"/>
    <w:next w:val="884"/>
    <w:link w:val="759"/>
    <w:uiPriority w:val="99"/>
    <w:pPr>
      <w:spacing w:after="0" w:line="240" w:lineRule="auto"/>
    </w:pPr>
    <w:tblPr/>
  </w:style>
  <w:style w:type="table" w:styleId="885">
    <w:name w:val="List Table 5 Dark - Accent 6"/>
    <w:basedOn w:val="770"/>
    <w:next w:val="885"/>
    <w:link w:val="759"/>
    <w:uiPriority w:val="99"/>
    <w:pPr>
      <w:spacing w:after="0" w:line="240" w:lineRule="auto"/>
    </w:pPr>
    <w:tblPr/>
  </w:style>
  <w:style w:type="table" w:styleId="886">
    <w:name w:val="Список-таблица 6 цветная"/>
    <w:basedOn w:val="770"/>
    <w:next w:val="886"/>
    <w:link w:val="759"/>
    <w:uiPriority w:val="99"/>
    <w:pPr>
      <w:spacing w:after="0" w:line="240" w:lineRule="auto"/>
    </w:pPr>
    <w:tblPr/>
  </w:style>
  <w:style w:type="table" w:styleId="887">
    <w:name w:val="List Table 6 Colorful - Accent 1"/>
    <w:basedOn w:val="770"/>
    <w:next w:val="887"/>
    <w:link w:val="759"/>
    <w:uiPriority w:val="99"/>
    <w:pPr>
      <w:spacing w:after="0" w:line="240" w:lineRule="auto"/>
    </w:pPr>
    <w:tblPr/>
  </w:style>
  <w:style w:type="table" w:styleId="888">
    <w:name w:val="List Table 6 Colorful - Accent 2"/>
    <w:basedOn w:val="770"/>
    <w:next w:val="888"/>
    <w:link w:val="759"/>
    <w:uiPriority w:val="99"/>
    <w:pPr>
      <w:spacing w:after="0" w:line="240" w:lineRule="auto"/>
    </w:pPr>
    <w:tblPr/>
  </w:style>
  <w:style w:type="table" w:styleId="889">
    <w:name w:val="List Table 6 Colorful - Accent 3"/>
    <w:basedOn w:val="770"/>
    <w:next w:val="889"/>
    <w:link w:val="759"/>
    <w:uiPriority w:val="99"/>
    <w:pPr>
      <w:spacing w:after="0" w:line="240" w:lineRule="auto"/>
    </w:pPr>
    <w:tblPr/>
  </w:style>
  <w:style w:type="table" w:styleId="890">
    <w:name w:val="List Table 6 Colorful - Accent 4"/>
    <w:basedOn w:val="770"/>
    <w:next w:val="890"/>
    <w:link w:val="759"/>
    <w:uiPriority w:val="99"/>
    <w:pPr>
      <w:spacing w:after="0" w:line="240" w:lineRule="auto"/>
    </w:pPr>
    <w:tblPr/>
  </w:style>
  <w:style w:type="table" w:styleId="891">
    <w:name w:val="List Table 6 Colorful - Accent 5"/>
    <w:basedOn w:val="770"/>
    <w:next w:val="891"/>
    <w:link w:val="759"/>
    <w:uiPriority w:val="99"/>
    <w:pPr>
      <w:spacing w:after="0" w:line="240" w:lineRule="auto"/>
    </w:pPr>
    <w:tblPr/>
  </w:style>
  <w:style w:type="table" w:styleId="892">
    <w:name w:val="List Table 6 Colorful - Accent 6"/>
    <w:basedOn w:val="770"/>
    <w:next w:val="892"/>
    <w:link w:val="759"/>
    <w:uiPriority w:val="99"/>
    <w:pPr>
      <w:spacing w:after="0" w:line="240" w:lineRule="auto"/>
    </w:pPr>
    <w:tblPr/>
  </w:style>
  <w:style w:type="table" w:styleId="893">
    <w:name w:val="Список-таблица 7 цветная"/>
    <w:basedOn w:val="770"/>
    <w:next w:val="893"/>
    <w:link w:val="759"/>
    <w:uiPriority w:val="99"/>
    <w:pPr>
      <w:spacing w:after="0" w:line="240" w:lineRule="auto"/>
    </w:pPr>
    <w:tblPr/>
  </w:style>
  <w:style w:type="table" w:styleId="894">
    <w:name w:val="List Table 7 Colorful - Accent 1"/>
    <w:basedOn w:val="770"/>
    <w:next w:val="894"/>
    <w:link w:val="759"/>
    <w:uiPriority w:val="99"/>
    <w:pPr>
      <w:spacing w:after="0" w:line="240" w:lineRule="auto"/>
    </w:pPr>
    <w:tblPr/>
  </w:style>
  <w:style w:type="table" w:styleId="895">
    <w:name w:val="List Table 7 Colorful - Accent 2"/>
    <w:basedOn w:val="770"/>
    <w:next w:val="895"/>
    <w:link w:val="759"/>
    <w:uiPriority w:val="99"/>
    <w:pPr>
      <w:spacing w:after="0" w:line="240" w:lineRule="auto"/>
    </w:pPr>
    <w:tblPr/>
  </w:style>
  <w:style w:type="table" w:styleId="896">
    <w:name w:val="List Table 7 Colorful - Accent 3"/>
    <w:basedOn w:val="770"/>
    <w:next w:val="896"/>
    <w:link w:val="759"/>
    <w:uiPriority w:val="99"/>
    <w:pPr>
      <w:spacing w:after="0" w:line="240" w:lineRule="auto"/>
    </w:pPr>
    <w:tblPr/>
  </w:style>
  <w:style w:type="table" w:styleId="897">
    <w:name w:val="List Table 7 Colorful - Accent 4"/>
    <w:basedOn w:val="770"/>
    <w:next w:val="897"/>
    <w:link w:val="759"/>
    <w:uiPriority w:val="99"/>
    <w:pPr>
      <w:spacing w:after="0" w:line="240" w:lineRule="auto"/>
    </w:pPr>
    <w:tblPr/>
  </w:style>
  <w:style w:type="table" w:styleId="898">
    <w:name w:val="List Table 7 Colorful - Accent 5"/>
    <w:basedOn w:val="770"/>
    <w:next w:val="898"/>
    <w:link w:val="759"/>
    <w:uiPriority w:val="99"/>
    <w:pPr>
      <w:spacing w:after="0" w:line="240" w:lineRule="auto"/>
    </w:pPr>
    <w:tblPr/>
  </w:style>
  <w:style w:type="table" w:styleId="899">
    <w:name w:val="List Table 7 Colorful - Accent 6"/>
    <w:basedOn w:val="770"/>
    <w:next w:val="899"/>
    <w:link w:val="759"/>
    <w:uiPriority w:val="99"/>
    <w:pPr>
      <w:spacing w:after="0" w:line="240" w:lineRule="auto"/>
    </w:pPr>
    <w:tblPr/>
  </w:style>
  <w:style w:type="table" w:styleId="900">
    <w:name w:val="Lined - Accent"/>
    <w:basedOn w:val="770"/>
    <w:next w:val="900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01">
    <w:name w:val="Lined - Accent 1"/>
    <w:basedOn w:val="770"/>
    <w:next w:val="901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02">
    <w:name w:val="Lined - Accent 2"/>
    <w:basedOn w:val="770"/>
    <w:next w:val="902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03">
    <w:name w:val="Lined - Accent 3"/>
    <w:basedOn w:val="770"/>
    <w:next w:val="903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04">
    <w:name w:val="Lined - Accent 4"/>
    <w:basedOn w:val="770"/>
    <w:next w:val="904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05">
    <w:name w:val="Lined - Accent 5"/>
    <w:basedOn w:val="770"/>
    <w:next w:val="905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06">
    <w:name w:val="Lined - Accent 6"/>
    <w:basedOn w:val="770"/>
    <w:next w:val="906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07">
    <w:name w:val="Bordered &amp; Lined - Accent"/>
    <w:basedOn w:val="770"/>
    <w:next w:val="907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08">
    <w:name w:val="Bordered &amp; Lined - Accent 1"/>
    <w:basedOn w:val="770"/>
    <w:next w:val="908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09">
    <w:name w:val="Bordered &amp; Lined - Accent 2"/>
    <w:basedOn w:val="770"/>
    <w:next w:val="909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10">
    <w:name w:val="Bordered &amp; Lined - Accent 3"/>
    <w:basedOn w:val="770"/>
    <w:next w:val="910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11">
    <w:name w:val="Bordered &amp; Lined - Accent 4"/>
    <w:basedOn w:val="770"/>
    <w:next w:val="911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12">
    <w:name w:val="Bordered &amp; Lined - Accent 5"/>
    <w:basedOn w:val="770"/>
    <w:next w:val="912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13">
    <w:name w:val="Bordered &amp; Lined - Accent 6"/>
    <w:basedOn w:val="770"/>
    <w:next w:val="913"/>
    <w:link w:val="7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/>
  </w:style>
  <w:style w:type="table" w:styleId="914">
    <w:name w:val="Bordered"/>
    <w:basedOn w:val="770"/>
    <w:next w:val="914"/>
    <w:link w:val="759"/>
    <w:uiPriority w:val="99"/>
    <w:pPr>
      <w:spacing w:after="0" w:line="240" w:lineRule="auto"/>
    </w:pPr>
    <w:tblPr/>
  </w:style>
  <w:style w:type="table" w:styleId="915">
    <w:name w:val="Bordered - Accent 1"/>
    <w:basedOn w:val="770"/>
    <w:next w:val="915"/>
    <w:link w:val="759"/>
    <w:uiPriority w:val="99"/>
    <w:pPr>
      <w:spacing w:after="0" w:line="240" w:lineRule="auto"/>
    </w:pPr>
    <w:tblPr/>
  </w:style>
  <w:style w:type="table" w:styleId="916">
    <w:name w:val="Bordered - Accent 2"/>
    <w:basedOn w:val="770"/>
    <w:next w:val="916"/>
    <w:link w:val="759"/>
    <w:uiPriority w:val="99"/>
    <w:pPr>
      <w:spacing w:after="0" w:line="240" w:lineRule="auto"/>
    </w:pPr>
    <w:tblPr/>
  </w:style>
  <w:style w:type="table" w:styleId="917">
    <w:name w:val="Bordered - Accent 3"/>
    <w:basedOn w:val="770"/>
    <w:next w:val="917"/>
    <w:link w:val="759"/>
    <w:uiPriority w:val="99"/>
    <w:pPr>
      <w:spacing w:after="0" w:line="240" w:lineRule="auto"/>
    </w:pPr>
    <w:tblPr/>
  </w:style>
  <w:style w:type="table" w:styleId="918">
    <w:name w:val="Bordered - Accent 4"/>
    <w:basedOn w:val="770"/>
    <w:next w:val="918"/>
    <w:link w:val="759"/>
    <w:uiPriority w:val="99"/>
    <w:pPr>
      <w:spacing w:after="0" w:line="240" w:lineRule="auto"/>
    </w:pPr>
    <w:tblPr/>
  </w:style>
  <w:style w:type="table" w:styleId="919">
    <w:name w:val="Bordered - Accent 5"/>
    <w:basedOn w:val="770"/>
    <w:next w:val="919"/>
    <w:link w:val="759"/>
    <w:uiPriority w:val="99"/>
    <w:pPr>
      <w:spacing w:after="0" w:line="240" w:lineRule="auto"/>
    </w:pPr>
    <w:tblPr/>
  </w:style>
  <w:style w:type="table" w:styleId="920">
    <w:name w:val="Bordered - Accent 6"/>
    <w:basedOn w:val="770"/>
    <w:next w:val="920"/>
    <w:link w:val="759"/>
    <w:uiPriority w:val="99"/>
    <w:pPr>
      <w:spacing w:after="0" w:line="240" w:lineRule="auto"/>
    </w:pPr>
    <w:tblPr/>
  </w:style>
  <w:style w:type="paragraph" w:styleId="921">
    <w:name w:val="Текст сноски"/>
    <w:basedOn w:val="759"/>
    <w:next w:val="921"/>
    <w:link w:val="922"/>
    <w:uiPriority w:val="99"/>
    <w:semiHidden/>
    <w:unhideWhenUsed/>
    <w:pPr>
      <w:spacing w:after="40" w:line="240" w:lineRule="auto"/>
    </w:pPr>
    <w:rPr>
      <w:sz w:val="18"/>
    </w:rPr>
  </w:style>
  <w:style w:type="character" w:styleId="922">
    <w:name w:val="Текст сноски Знак"/>
    <w:next w:val="922"/>
    <w:link w:val="921"/>
    <w:uiPriority w:val="99"/>
    <w:rPr>
      <w:sz w:val="18"/>
    </w:rPr>
  </w:style>
  <w:style w:type="character" w:styleId="923">
    <w:name w:val="Знак сноски"/>
    <w:next w:val="923"/>
    <w:link w:val="759"/>
    <w:uiPriority w:val="99"/>
    <w:unhideWhenUsed/>
    <w:rPr>
      <w:vertAlign w:val="superscript"/>
    </w:rPr>
  </w:style>
  <w:style w:type="paragraph" w:styleId="924">
    <w:name w:val="Текст концевой сноски"/>
    <w:basedOn w:val="759"/>
    <w:next w:val="924"/>
    <w:link w:val="925"/>
    <w:uiPriority w:val="99"/>
    <w:semiHidden/>
    <w:unhideWhenUsed/>
    <w:pPr>
      <w:spacing w:after="0" w:line="240" w:lineRule="auto"/>
    </w:pPr>
    <w:rPr>
      <w:sz w:val="20"/>
    </w:rPr>
  </w:style>
  <w:style w:type="character" w:styleId="925">
    <w:name w:val="Текст концевой сноски Знак"/>
    <w:next w:val="925"/>
    <w:link w:val="924"/>
    <w:uiPriority w:val="99"/>
    <w:rPr>
      <w:sz w:val="20"/>
    </w:rPr>
  </w:style>
  <w:style w:type="character" w:styleId="926">
    <w:name w:val="Знак концевой сноски"/>
    <w:next w:val="926"/>
    <w:link w:val="759"/>
    <w:uiPriority w:val="99"/>
    <w:semiHidden/>
    <w:unhideWhenUsed/>
    <w:rPr>
      <w:vertAlign w:val="superscript"/>
    </w:rPr>
  </w:style>
  <w:style w:type="paragraph" w:styleId="927">
    <w:name w:val="Оглавление 1"/>
    <w:basedOn w:val="759"/>
    <w:next w:val="759"/>
    <w:link w:val="759"/>
    <w:uiPriority w:val="39"/>
    <w:unhideWhenUsed/>
    <w:pPr>
      <w:ind w:left="0" w:right="0" w:firstLine="0"/>
      <w:spacing w:after="57"/>
    </w:pPr>
  </w:style>
  <w:style w:type="paragraph" w:styleId="928">
    <w:name w:val="Оглавление 2"/>
    <w:basedOn w:val="759"/>
    <w:next w:val="759"/>
    <w:link w:val="759"/>
    <w:uiPriority w:val="39"/>
    <w:unhideWhenUsed/>
    <w:pPr>
      <w:ind w:left="283" w:right="0" w:firstLine="0"/>
      <w:spacing w:after="57"/>
    </w:pPr>
  </w:style>
  <w:style w:type="paragraph" w:styleId="929">
    <w:name w:val="Оглавление 3"/>
    <w:basedOn w:val="759"/>
    <w:next w:val="759"/>
    <w:link w:val="759"/>
    <w:uiPriority w:val="39"/>
    <w:unhideWhenUsed/>
    <w:pPr>
      <w:ind w:left="567" w:right="0" w:firstLine="0"/>
      <w:spacing w:after="57"/>
    </w:pPr>
  </w:style>
  <w:style w:type="paragraph" w:styleId="930">
    <w:name w:val="Оглавление 4"/>
    <w:basedOn w:val="759"/>
    <w:next w:val="759"/>
    <w:link w:val="759"/>
    <w:uiPriority w:val="39"/>
    <w:unhideWhenUsed/>
    <w:pPr>
      <w:ind w:left="850" w:right="0" w:firstLine="0"/>
      <w:spacing w:after="57"/>
    </w:pPr>
  </w:style>
  <w:style w:type="paragraph" w:styleId="931">
    <w:name w:val="Оглавление 5"/>
    <w:basedOn w:val="759"/>
    <w:next w:val="759"/>
    <w:link w:val="759"/>
    <w:uiPriority w:val="39"/>
    <w:unhideWhenUsed/>
    <w:pPr>
      <w:ind w:left="1134" w:right="0" w:firstLine="0"/>
      <w:spacing w:after="57"/>
    </w:pPr>
  </w:style>
  <w:style w:type="paragraph" w:styleId="932">
    <w:name w:val="Оглавление 6"/>
    <w:basedOn w:val="759"/>
    <w:next w:val="759"/>
    <w:link w:val="759"/>
    <w:uiPriority w:val="39"/>
    <w:unhideWhenUsed/>
    <w:pPr>
      <w:ind w:left="1417" w:right="0" w:firstLine="0"/>
      <w:spacing w:after="57"/>
    </w:pPr>
  </w:style>
  <w:style w:type="paragraph" w:styleId="933">
    <w:name w:val="Оглавление 7"/>
    <w:basedOn w:val="759"/>
    <w:next w:val="759"/>
    <w:link w:val="759"/>
    <w:uiPriority w:val="39"/>
    <w:unhideWhenUsed/>
    <w:pPr>
      <w:ind w:left="1701" w:right="0" w:firstLine="0"/>
      <w:spacing w:after="57"/>
    </w:pPr>
  </w:style>
  <w:style w:type="paragraph" w:styleId="934">
    <w:name w:val="Оглавление 8"/>
    <w:basedOn w:val="759"/>
    <w:next w:val="759"/>
    <w:link w:val="759"/>
    <w:uiPriority w:val="39"/>
    <w:unhideWhenUsed/>
    <w:pPr>
      <w:ind w:left="1984" w:right="0" w:firstLine="0"/>
      <w:spacing w:after="57"/>
    </w:pPr>
  </w:style>
  <w:style w:type="paragraph" w:styleId="935">
    <w:name w:val="Оглавление 9"/>
    <w:basedOn w:val="759"/>
    <w:next w:val="759"/>
    <w:link w:val="759"/>
    <w:uiPriority w:val="39"/>
    <w:unhideWhenUsed/>
    <w:pPr>
      <w:ind w:left="2268" w:right="0" w:firstLine="0"/>
      <w:spacing w:after="57"/>
    </w:pPr>
  </w:style>
  <w:style w:type="paragraph" w:styleId="936">
    <w:name w:val="Заголовок оглавления"/>
    <w:next w:val="936"/>
    <w:link w:val="759"/>
    <w:uiPriority w:val="39"/>
    <w:unhideWhenUsed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937">
    <w:name w:val="Перечень рисунков"/>
    <w:basedOn w:val="759"/>
    <w:next w:val="759"/>
    <w:link w:val="759"/>
    <w:uiPriority w:val="99"/>
    <w:unhideWhenUsed/>
    <w:pPr>
      <w:spacing w:after="0" w:afterAutospacing="0"/>
    </w:pPr>
  </w:style>
  <w:style w:type="paragraph" w:styleId="938">
    <w:name w:val="Абзац списка"/>
    <w:basedOn w:val="759"/>
    <w:next w:val="938"/>
    <w:link w:val="759"/>
    <w:uiPriority w:val="34"/>
    <w:qFormat/>
    <w:pPr>
      <w:contextualSpacing/>
      <w:ind w:left="720"/>
    </w:pPr>
  </w:style>
  <w:style w:type="character" w:styleId="939">
    <w:name w:val="Гиперссылка"/>
    <w:next w:val="939"/>
    <w:link w:val="759"/>
    <w:uiPriority w:val="99"/>
    <w:unhideWhenUsed/>
    <w:rPr>
      <w:rFonts w:ascii="Geometria Medium" w:hAnsi="Geometria Medium"/>
      <w:color w:val="0478cf"/>
      <w:u w:val="none"/>
    </w:rPr>
  </w:style>
  <w:style w:type="table" w:styleId="940">
    <w:name w:val="Сетка таблицы"/>
    <w:basedOn w:val="770"/>
    <w:next w:val="940"/>
    <w:link w:val="759"/>
    <w:uiPriority w:val="59"/>
    <w:pPr>
      <w:spacing w:after="0" w:line="240" w:lineRule="auto"/>
    </w:pPr>
    <w:tblPr/>
  </w:style>
  <w:style w:type="paragraph" w:styleId="941">
    <w:name w:val="ГПО35"/>
    <w:next w:val="941"/>
    <w:link w:val="759"/>
    <w:pPr>
      <w:ind w:left="786" w:hanging="360"/>
      <w:spacing w:after="480"/>
    </w:pPr>
    <w:rPr>
      <w:rFonts w:ascii="Times New Roman" w:hAnsi="Times New Roman" w:eastAsia="Times New Roman"/>
      <w:sz w:val="28"/>
      <w:szCs w:val="28"/>
      <w:lang w:val="ru-RU" w:eastAsia="ru-RU" w:bidi="ar-SA"/>
    </w:rPr>
  </w:style>
  <w:style w:type="paragraph" w:styleId="942">
    <w:name w:val="Текст выноски"/>
    <w:basedOn w:val="759"/>
    <w:next w:val="942"/>
    <w:link w:val="943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character" w:styleId="943">
    <w:name w:val="Текст выноски Знак"/>
    <w:next w:val="943"/>
    <w:link w:val="942"/>
    <w:uiPriority w:val="99"/>
    <w:semiHidden/>
    <w:rPr>
      <w:rFonts w:ascii="Arial" w:hAnsi="Arial" w:cs="Arial"/>
      <w:sz w:val="18"/>
      <w:szCs w:val="18"/>
    </w:rPr>
  </w:style>
  <w:style w:type="table" w:styleId="944">
    <w:name w:val="Сетка таблицы1"/>
    <w:basedOn w:val="770"/>
    <w:next w:val="940"/>
    <w:link w:val="759"/>
    <w:uiPriority w:val="59"/>
    <w:pPr>
      <w:spacing w:after="0" w:line="240" w:lineRule="auto"/>
    </w:pPr>
    <w:tblPr/>
  </w:style>
  <w:style w:type="character" w:styleId="945" w:default="1">
    <w:name w:val="Default Paragraph Font"/>
    <w:uiPriority w:val="1"/>
    <w:semiHidden/>
    <w:unhideWhenUsed/>
  </w:style>
  <w:style w:type="numbering" w:styleId="946" w:default="1">
    <w:name w:val="No List"/>
    <w:uiPriority w:val="99"/>
    <w:semiHidden/>
    <w:unhideWhenUsed/>
  </w:style>
  <w:style w:type="table" w:styleId="94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Юга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 Алексей Юрьевич</dc:creator>
  <cp:revision>15</cp:revision>
  <dcterms:created xsi:type="dcterms:W3CDTF">2025-03-20T06:32:00Z</dcterms:created>
  <dcterms:modified xsi:type="dcterms:W3CDTF">2025-03-27T07:52:30Z</dcterms:modified>
  <cp:version>1048576</cp:version>
</cp:coreProperties>
</file>